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3189">
      <w:pPr>
        <w:rPr>
          <w:rFonts w:hint="eastAsia"/>
          <w:b/>
          <w:bCs/>
        </w:rPr>
      </w:pPr>
      <w:r>
        <w:rPr>
          <w:b/>
          <w:bCs/>
        </w:rPr>
        <w:t>Milí maturanti,</w:t>
      </w:r>
    </w:p>
    <w:p w14:paraId="72F11BE0">
      <w:pPr>
        <w:rPr>
          <w:rFonts w:hint="eastAsia"/>
          <w:b/>
          <w:bCs/>
        </w:rPr>
      </w:pPr>
    </w:p>
    <w:p w14:paraId="26C748AD">
      <w:pPr>
        <w:rPr>
          <w:rFonts w:hint="eastAsia"/>
          <w:b/>
          <w:bCs/>
        </w:rPr>
      </w:pPr>
      <w:r>
        <w:rPr>
          <w:b/>
          <w:bCs/>
        </w:rPr>
        <w:t>v tomto dokumentu jsou shromážděny informace, které budete potřebovat při žádosti o 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přezkum (odvolání) svého výsledku u maturitního didaktického testu (jaro 2025)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kvůli pochybení Cermatu u vyhodnocení správné odpovědi na podúlohu 14.3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b/>
          <w:bCs/>
        </w:rPr>
        <w:br w:type="textWrapping"/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Není totiž sporu, že správnou odpovědí je N (tj. NE).</w:t>
      </w:r>
      <w:r>
        <w:rPr>
          <w:b/>
          <w:bCs/>
        </w:rPr>
        <w:t xml:space="preserve"> Je toho hodně, ale snažili jsme se poskytnout co nejvíce informací. Snad tento dokument někomu pomůže.</w:t>
      </w:r>
    </w:p>
    <w:p w14:paraId="463BE8B1">
      <w:pPr>
        <w:rPr>
          <w:rFonts w:hint="eastAsia"/>
          <w:b/>
          <w:bCs/>
        </w:rPr>
      </w:pPr>
    </w:p>
    <w:p w14:paraId="035AB1F6">
      <w:pPr>
        <w:pBdr>
          <w:bottom w:val="single" w:color="000000" w:sz="6" w:space="1"/>
        </w:pBdr>
        <w:rPr>
          <w:rFonts w:hint="eastAsia"/>
          <w:b/>
          <w:bCs/>
        </w:rPr>
      </w:pPr>
      <w:r>
        <w:rPr>
          <w:b/>
          <w:bCs/>
        </w:rPr>
        <w:t xml:space="preserve">Oldřich Botlík &amp; Jarmil Vepřek / Běžící češtinář </w:t>
      </w:r>
    </w:p>
    <w:p w14:paraId="4969CDCF">
      <w:pPr>
        <w:pBdr>
          <w:bottom w:val="single" w:color="000000" w:sz="6" w:space="1"/>
        </w:pBdr>
        <w:rPr>
          <w:rFonts w:hint="eastAsia"/>
          <w:b/>
          <w:bCs/>
        </w:rPr>
      </w:pPr>
    </w:p>
    <w:p w14:paraId="7B0954D0">
      <w:pPr>
        <w:rPr>
          <w:rFonts w:hint="eastAsia"/>
          <w:b/>
          <w:bCs/>
        </w:rPr>
      </w:pPr>
    </w:p>
    <w:p w14:paraId="3007AEDE">
      <w:pPr>
        <w:rPr>
          <w:rFonts w:hint="eastAsia"/>
          <w:b/>
          <w:bCs/>
        </w:rPr>
      </w:pPr>
      <w:r>
        <w:rPr>
          <w:b/>
          <w:bCs/>
        </w:rPr>
        <w:t>Několik užitečných odkazů:</w:t>
      </w:r>
    </w:p>
    <w:p w14:paraId="31CC4581">
      <w:pPr>
        <w:rPr>
          <w:rFonts w:hint="eastAsia"/>
          <w:b/>
          <w:bCs/>
        </w:rPr>
      </w:pPr>
    </w:p>
    <w:p w14:paraId="04932AF3">
      <w:pP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1.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Zde jsou oficiální informace pro žadatele o přezkum (odvolání). </w:t>
      </w:r>
    </w:p>
    <w:p w14:paraId="1CE371E3">
      <w:pPr>
        <w:ind w:firstLine="709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Tím rovnou začněte, ať víte: co, kam, kdy a jak!</w:t>
      </w:r>
    </w:p>
    <w:p w14:paraId="5C94E17D">
      <w:pPr>
        <w:ind w:firstLine="709"/>
        <w:rPr>
          <w:rFonts w:hint="eastAsia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→ </w:t>
      </w:r>
      <w:r>
        <w:fldChar w:fldCharType="begin"/>
      </w:r>
      <w:r>
        <w:instrText xml:space="preserve"> HYPERLINK "https://maturita.cermat.cz/menu/prezkum-vysledku-zkousek" \h </w:instrText>
      </w:r>
      <w:r>
        <w:fldChar w:fldCharType="separate"/>
      </w:r>
      <w:r>
        <w:rPr>
          <w:rStyle w:val="12"/>
          <w:b/>
          <w:bCs/>
          <w:color w:val="FF0000"/>
        </w:rPr>
        <w:t>Přezkum výsledků</w:t>
      </w:r>
      <w:r>
        <w:rPr>
          <w:rStyle w:val="12"/>
          <w:b/>
          <w:bCs/>
          <w:color w:val="FF0000"/>
        </w:rPr>
        <w:fldChar w:fldCharType="end"/>
      </w:r>
    </w:p>
    <w:p w14:paraId="569B51F3">
      <w:pPr>
        <w:rPr>
          <w:rFonts w:hint="eastAsia"/>
        </w:rPr>
      </w:pPr>
    </w:p>
    <w:p w14:paraId="1FA3B371">
      <w:pPr>
        <w:ind w:left="708" w:hanging="708"/>
        <w:rPr>
          <w:rFonts w:hint="eastAsia"/>
        </w:rPr>
      </w:pPr>
      <w:r>
        <w:rPr>
          <w:b/>
          <w:bCs/>
        </w:rPr>
        <w:t>2.</w:t>
      </w:r>
      <w:r>
        <w:tab/>
      </w:r>
      <w:r>
        <w:t xml:space="preserve">MŠMT se v minulosti opakovaně nevypořádalo s argumenty žadatelů o přezkum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výsledku v testu.</w:t>
      </w:r>
      <w:r>
        <w:t xml:space="preserve"> Viz zprávu ombudsmanky Šabatové z roku 2018. Najdete tam i zprávu o šetření, které k tomu provedla, její závěrečné stanovisko k věci a rovněž usnesení vlády k jejímu podnětu:</w:t>
      </w:r>
    </w:p>
    <w:p w14:paraId="6627B98F">
      <w:pPr>
        <w:ind w:left="708"/>
        <w:rPr>
          <w:rFonts w:hint="eastAsia"/>
          <w:color w:val="0070C0"/>
        </w:rPr>
      </w:pPr>
      <w:r>
        <w:fldChar w:fldCharType="begin"/>
      </w:r>
      <w:r>
        <w:instrText xml:space="preserve"> HYPERLINK "https://www.ochrance.cz/aktualne/ministerstvo-skolstvi-mladeze-a-telovychovy-porusuje-zakon-pri-prezkumech-maturitnich-zk/" \h </w:instrText>
      </w:r>
      <w:r>
        <w:fldChar w:fldCharType="separate"/>
      </w:r>
      <w:r>
        <w:rPr>
          <w:rStyle w:val="12"/>
          <w:b/>
          <w:bCs/>
          <w:color w:val="0070C0"/>
        </w:rPr>
        <w:t>Ministerstvo školství, mládeže a tělovýchovy porušuje zákon při přezkumech maturitních zkoušek</w:t>
      </w:r>
      <w:r>
        <w:rPr>
          <w:rStyle w:val="12"/>
          <w:b/>
          <w:bCs/>
          <w:color w:val="0070C0"/>
        </w:rPr>
        <w:fldChar w:fldCharType="end"/>
      </w:r>
    </w:p>
    <w:p w14:paraId="1D06960B">
      <w:pPr>
        <w:rPr>
          <w:rFonts w:hint="eastAsia"/>
        </w:rPr>
      </w:pPr>
    </w:p>
    <w:p w14:paraId="20B6D779">
      <w:pPr>
        <w:ind w:firstLine="708"/>
        <w:rPr>
          <w:rFonts w:hint="eastAsia"/>
        </w:rPr>
      </w:pPr>
      <w:r>
        <w:t>Z odkazované textové zprávy na stránkách Úřadu veřejného ochránce práv vyjímáme:</w:t>
      </w:r>
    </w:p>
    <w:p w14:paraId="21750EA2">
      <w:pPr>
        <w:pStyle w:val="4"/>
        <w:numPr>
          <w:ilvl w:val="0"/>
          <w:numId w:val="1"/>
        </w:numPr>
        <w:spacing w:after="0" w:line="240" w:lineRule="auto"/>
        <w:ind w:hanging="363"/>
        <w:rPr>
          <w:rFonts w:hint="eastAsia"/>
        </w:rPr>
      </w:pPr>
      <w:r>
        <w:rPr>
          <w:b/>
          <w:bCs/>
        </w:rPr>
        <w:t>V mnoha případech nebyla rozhodnutí MŠMT řádně odůvodněna, odpovědi byly šablonovité. Například rozebíraly, co maturant nenamítal, a jindy nereagovaly na konkrétní námitky.</w:t>
      </w:r>
    </w:p>
    <w:p w14:paraId="22BF0FE1">
      <w:pPr>
        <w:pStyle w:val="4"/>
        <w:numPr>
          <w:ilvl w:val="0"/>
          <w:numId w:val="2"/>
        </w:numPr>
        <w:spacing w:after="0" w:line="240" w:lineRule="auto"/>
        <w:ind w:hanging="363"/>
        <w:rPr>
          <w:rFonts w:hint="eastAsia"/>
        </w:rPr>
      </w:pPr>
      <w:r>
        <w:t>Dle zákona má MŠMT v případě, kdy je žádost studenta o přezkoumání maturitní zkoušky neúplná, studenta vyzvat k jejímu doplnění, tak aby student mohl specifikovat své konkrétní námitky. Ministerstvo však maturanty nevyzývá k doplnění, ale provádí vždy kompletní kontrolu zkoušky. Kontrola je tak často neefektivní a nevěnuje se konkrétním námitkám.</w:t>
      </w:r>
    </w:p>
    <w:p w14:paraId="16D0F8F7">
      <w:pPr>
        <w:pStyle w:val="4"/>
        <w:numPr>
          <w:ilvl w:val="0"/>
          <w:numId w:val="3"/>
        </w:numPr>
        <w:spacing w:after="0" w:line="240" w:lineRule="auto"/>
        <w:ind w:hanging="363"/>
        <w:rPr>
          <w:rFonts w:hint="eastAsia"/>
        </w:rPr>
      </w:pPr>
      <w:r>
        <w:t xml:space="preserve">Některé formulace v maturitní vyhlášce a na dalších místech vyvolávají dojem, že MŠMT nemá skutečný zájem na tom, aby maturanti své žádosti o přezkum podrobně odůvodňovali. Ministerstvo například doporučuje žádat o přezkum celého testu, ne se odvolávat k jednotlivým úlohám. </w:t>
      </w:r>
    </w:p>
    <w:p w14:paraId="69EBE77B">
      <w:pPr>
        <w:rPr>
          <w:rFonts w:hint="eastAsia"/>
        </w:rPr>
      </w:pPr>
    </w:p>
    <w:p w14:paraId="1A1C4C07">
      <w:pPr>
        <w:ind w:left="437" w:hanging="437"/>
        <w:rPr>
          <w:rFonts w:hint="eastAsia"/>
        </w:rPr>
      </w:pPr>
      <w:r>
        <w:rPr>
          <w:b/>
          <w:bCs/>
        </w:rPr>
        <w:t>3.</w:t>
      </w:r>
      <w:r>
        <w:tab/>
      </w:r>
      <w:r>
        <w:t xml:space="preserve">Podstatný je také případ z roku 2022, kdy byl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v testu stejný typ chyby</w:t>
      </w:r>
      <w:r>
        <w:t xml:space="preserve"> jako nyní u p. 14.3:</w:t>
      </w:r>
    </w:p>
    <w:p w14:paraId="4A9D6310">
      <w:pPr>
        <w:ind w:firstLine="437"/>
        <w:rPr>
          <w:rFonts w:hint="eastAsia"/>
          <w:b/>
          <w:bCs/>
        </w:rPr>
      </w:pPr>
      <w:r>
        <w:fldChar w:fldCharType="begin"/>
      </w:r>
      <w:r>
        <w:instrText xml:space="preserve"> HYPERLINK "https://www.seznamzpravy.cz/clanek/domaci-zivot-v-cesku-v-maturitnim-testu-byla-zase-chyba-cermat-ji-uznal-a-dal-bod-vsem-214018" \h </w:instrText>
      </w:r>
      <w:r>
        <w:fldChar w:fldCharType="separate"/>
      </w:r>
      <w:r>
        <w:rPr>
          <w:rStyle w:val="12"/>
          <w:b/>
          <w:bCs/>
        </w:rPr>
        <w:t>V maturitním testu byla zase chyba, Cermat ji uznal a dal bod všem</w:t>
      </w:r>
      <w:r>
        <w:rPr>
          <w:rStyle w:val="12"/>
          <w:b/>
          <w:bCs/>
        </w:rPr>
        <w:fldChar w:fldCharType="end"/>
      </w:r>
    </w:p>
    <w:p w14:paraId="12EE3156">
      <w:pPr>
        <w:pBdr>
          <w:bottom w:val="single" w:color="000000" w:sz="6" w:space="1"/>
        </w:pBdr>
        <w:rPr>
          <w:rFonts w:hint="eastAsia"/>
          <w:b/>
          <w:bCs/>
        </w:rPr>
      </w:pPr>
    </w:p>
    <w:p w14:paraId="56E75F85">
      <w:pPr>
        <w:rPr>
          <w:rFonts w:hint="eastAsia"/>
          <w:b/>
          <w:bCs/>
        </w:rPr>
      </w:pPr>
    </w:p>
    <w:p w14:paraId="054862C3">
      <w:pPr>
        <w:rPr>
          <w:rFonts w:hint="eastAsia"/>
          <w:b/>
          <w:bCs/>
        </w:rPr>
      </w:pPr>
      <w:r>
        <w:rPr>
          <w:b/>
          <w:bCs/>
        </w:rPr>
        <w:t>Co teď s tím?</w:t>
      </w:r>
    </w:p>
    <w:p w14:paraId="45018677">
      <w:pPr>
        <w:rPr>
          <w:rFonts w:hint="eastAsia"/>
          <w:b/>
          <w:bCs/>
        </w:rPr>
      </w:pPr>
    </w:p>
    <w:p w14:paraId="669062D6">
      <w:pPr>
        <w:rPr>
          <w:rFonts w:hint="eastAsia"/>
        </w:rPr>
      </w:pPr>
      <w:r>
        <w:t xml:space="preserve">Při odvolání je třeba dodržet pokyny (viz červený odkaz). Vyplnit musíte formulář, ale u všech právních úkonů podle právního řádu platí, že rozhodující je jejich obsah ‒ nikoli forma. Nemusíte tedy brát žádný ohled na velikost místa, které je tam pro odůvodnění podnětu vymezeno. Své podání byste měli poslat doporučeným dopisem včetně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vlastnoručního</w:t>
      </w:r>
      <w:r>
        <w:rPr>
          <w:color w:val="C5000B"/>
        </w:rPr>
        <w:t xml:space="preserve"> </w:t>
      </w:r>
      <w:r>
        <w:t>podpisu (případně z</w:t>
      </w:r>
      <w:r>
        <w:rPr>
          <w:b/>
          <w:bCs/>
        </w:rPr>
        <w:t xml:space="preserve"> </w:t>
      </w:r>
      <w:r>
        <w:t xml:space="preserve">datové schránky) a uschovat podací lístek pro případné další dokazování. </w:t>
      </w:r>
      <w:r>
        <w:rPr>
          <w:b/>
          <w:bCs/>
        </w:rPr>
        <w:t>Podání musí obsahovat předepsané údaje umožňující identifikovat autora podání, test a úlohu či úlohy, jichž se podání týká (včetně toho, že jde o jaro 2025)</w:t>
      </w:r>
      <w:r>
        <w:t xml:space="preserve">. </w:t>
      </w:r>
    </w:p>
    <w:p w14:paraId="4C2CA341">
      <w:pPr>
        <w:rPr>
          <w:rFonts w:hint="eastAsia"/>
        </w:rPr>
      </w:pPr>
    </w:p>
    <w:p w14:paraId="677FC396">
      <w:pPr>
        <w:rPr>
          <w:rFonts w:hint="eastAsia"/>
        </w:rPr>
      </w:pPr>
      <w:r>
        <w:t xml:space="preserve">MŠMT se musí zabývat každým argumentem, který maturant vznese, a vypořádat se s ním. Maturantům na druhé straně nic nebrání v tom, aby naši následující argumentaci převzali pro svůj doporučený dopis beze změny pomocí Ctrl + C a Ctrl + V. </w:t>
      </w:r>
    </w:p>
    <w:p w14:paraId="2B7F3C91">
      <w:pPr>
        <w:rPr>
          <w:rFonts w:hint="eastAsia"/>
        </w:rPr>
      </w:pPr>
    </w:p>
    <w:p w14:paraId="4B434FCE">
      <w:pPr>
        <w:rPr>
          <w:rFonts w:hint="eastAsia"/>
        </w:rPr>
      </w:pPr>
    </w:p>
    <w:p w14:paraId="70597676">
      <w:pPr>
        <w:rPr>
          <w:rFonts w:hint="eastAsia"/>
          <w:b/>
          <w:bCs/>
          <w:color w:val="EE0000"/>
          <w:sz w:val="26"/>
          <w:szCs w:val="26"/>
        </w:rPr>
      </w:pPr>
      <w:r>
        <w:rPr>
          <w:b/>
          <w:bCs/>
          <w:color w:val="EE0000"/>
          <w:sz w:val="26"/>
          <w:szCs w:val="26"/>
        </w:rPr>
        <w:t>Argumentace pro uznání odpovědi NE u podúlohy 14.3:</w:t>
      </w:r>
      <w:r>
        <w:rPr>
          <w:b/>
          <w:bCs/>
          <w:color w:val="EE0000"/>
          <w:sz w:val="26"/>
          <w:szCs w:val="26"/>
        </w:rPr>
        <w:br w:type="textWrapping"/>
      </w:r>
    </w:p>
    <w:p w14:paraId="33228AE6">
      <w:pPr>
        <w:rPr>
          <w:rFonts w:hint="eastAsia"/>
          <w:b/>
          <w:bCs/>
          <w:color w:val="EE0000"/>
          <w:sz w:val="26"/>
          <w:szCs w:val="26"/>
        </w:rPr>
      </w:pPr>
    </w:p>
    <w:p w14:paraId="4F37611C">
      <w:pPr>
        <w:rPr>
          <w:rFonts w:hint="eastAsia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Úloha 14 maturitního didaktického testu (jaro 2025):</w:t>
      </w:r>
    </w:p>
    <w:p w14:paraId="1A955AEC">
      <w:pPr>
        <w:rPr>
          <w:rFonts w:hint="eastAsia"/>
          <w:b/>
          <w:bCs/>
          <w:color w:val="EE0000"/>
          <w:sz w:val="26"/>
          <w:szCs w:val="26"/>
        </w:rPr>
      </w:pPr>
    </w:p>
    <w:p w14:paraId="6ECDCADA">
      <w:pPr>
        <w:rPr>
          <w:rFonts w:hint="eastAsia"/>
          <w:b/>
          <w:bCs/>
          <w:color w:val="EE0000"/>
          <w:sz w:val="26"/>
          <w:szCs w:val="26"/>
        </w:rPr>
      </w:pPr>
      <w:r>
        <w:drawing>
          <wp:inline distT="0" distB="0" distL="0" distR="0">
            <wp:extent cx="4823460" cy="4083050"/>
            <wp:effectExtent l="0" t="0" r="0" b="0"/>
            <wp:docPr id="1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čísl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408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BF318">
      <w:pPr>
        <w:pBdr>
          <w:bottom w:val="single" w:color="000000" w:sz="6" w:space="1"/>
        </w:pBdr>
        <w:rPr>
          <w:rFonts w:hint="eastAsia"/>
          <w:b/>
          <w:bCs/>
        </w:rPr>
      </w:pPr>
    </w:p>
    <w:p w14:paraId="61D9E11E">
      <w:pPr>
        <w:pBdr>
          <w:bottom w:val="single" w:color="000000" w:sz="6" w:space="1"/>
        </w:pBdr>
        <w:rPr>
          <w:rFonts w:hint="eastAsia"/>
          <w:b/>
          <w:bCs/>
        </w:rPr>
      </w:pPr>
    </w:p>
    <w:p w14:paraId="7E9E3055">
      <w:pPr>
        <w:spacing w:after="113"/>
        <w:rPr>
          <w:rFonts w:hint="eastAsia"/>
          <w:b/>
          <w:bCs/>
        </w:rPr>
      </w:pPr>
    </w:p>
    <w:p w14:paraId="15B1376D">
      <w:pPr>
        <w:spacing w:after="113"/>
        <w:rPr>
          <w:rFonts w:hint="eastAsia"/>
          <w:b/>
          <w:bCs/>
        </w:rPr>
      </w:pPr>
      <w:r>
        <w:rPr>
          <w:b/>
          <w:bCs/>
        </w:rPr>
        <w:t>Relevantní část výchozího textu:</w:t>
      </w:r>
    </w:p>
    <w:p w14:paraId="4AA7FE87">
      <w:pPr>
        <w:rPr>
          <w:rFonts w:hint="eastAsia"/>
          <w:i/>
          <w:iCs/>
        </w:rPr>
      </w:pPr>
      <w:r>
        <w:t xml:space="preserve">Pověst o Přemyslu Oráčovi má prvky tzv. ustavujícího mýtu – líčí, jak zrod společenského řádu pomohl překlenout nepříznivé období. Doba před Přemyslem totiž pro kronikáře představuje chaos a bezpráví. Součástí nového uspořádání společnosti je i výsadní postavení knížecí moci, které mají být podřízeni všichni Čechové. Mnozí lidé tak v pověsti spatřovali obhajobu pevné vlády, jež jediná je schopná zaručit spravedlnost a mír v zemi. </w:t>
      </w:r>
      <w:r>
        <w:rPr>
          <w:u w:val="single"/>
        </w:rPr>
        <w:t xml:space="preserve">Pojetím role vládce se pověst </w:t>
      </w:r>
      <w:r>
        <w:rPr>
          <w:b/>
          <w:bCs/>
          <w:u w:val="single"/>
        </w:rPr>
        <w:t>nijak neliší od biblických příběhů</w:t>
      </w:r>
      <w:r>
        <w:rPr>
          <w:u w:val="single"/>
        </w:rPr>
        <w:t xml:space="preserve">: když Libuše před vysláním družiny poslů za Přemyslem </w:t>
      </w:r>
      <w:r>
        <w:rPr>
          <w:b/>
          <w:bCs/>
          <w:u w:val="single"/>
        </w:rPr>
        <w:t>hovoří o panování jediného muže</w:t>
      </w:r>
      <w:r>
        <w:rPr>
          <w:u w:val="single"/>
        </w:rPr>
        <w:t xml:space="preserve">, jde o </w:t>
      </w:r>
      <w:r>
        <w:rPr>
          <w:b/>
          <w:bCs/>
          <w:u w:val="single"/>
        </w:rPr>
        <w:t>parafrázi promluvy proroka Samuela</w:t>
      </w:r>
      <w:r>
        <w:rPr>
          <w:u w:val="single"/>
        </w:rPr>
        <w:t xml:space="preserve"> k Izraelitům, žádajícím o krále.</w:t>
      </w:r>
      <w:r>
        <w:rPr>
          <w:i/>
          <w:iCs/>
        </w:rPr>
        <w:t xml:space="preserve"> </w:t>
      </w:r>
    </w:p>
    <w:p w14:paraId="29DC6825">
      <w:pPr>
        <w:pBdr>
          <w:bottom w:val="single" w:color="000000" w:sz="6" w:space="1"/>
        </w:pBdr>
        <w:rPr>
          <w:rFonts w:hint="eastAsia"/>
        </w:rPr>
      </w:pPr>
    </w:p>
    <w:p w14:paraId="07942AE3">
      <w:pPr>
        <w:pBdr>
          <w:bottom w:val="single" w:color="000000" w:sz="6" w:space="1"/>
        </w:pBdr>
        <w:rPr>
          <w:rFonts w:hint="eastAsia"/>
        </w:rPr>
      </w:pPr>
    </w:p>
    <w:p w14:paraId="5A3DF8F7">
      <w:pPr>
        <w:rPr>
          <w:rFonts w:hint="eastAsia"/>
        </w:rPr>
      </w:pPr>
    </w:p>
    <w:p w14:paraId="168505E8">
      <w:pPr>
        <w:rPr>
          <w:rFonts w:hint="eastAsia"/>
          <w:b/>
          <w:bCs/>
        </w:rPr>
      </w:pPr>
      <w:r>
        <w:rPr>
          <w:b/>
          <w:bCs/>
        </w:rPr>
        <w:t>Zadání podúlohy 14.3:</w:t>
      </w:r>
    </w:p>
    <w:p w14:paraId="08405786">
      <w:pPr>
        <w:rPr>
          <w:rFonts w:hint="eastAsia"/>
          <w:b/>
          <w:bCs/>
        </w:rPr>
      </w:pPr>
    </w:p>
    <w:p w14:paraId="276A52AC">
      <w:pPr>
        <w:rPr>
          <w:rFonts w:hint="eastAsia"/>
          <w:b/>
          <w:bCs/>
        </w:rPr>
      </w:pPr>
      <w:r>
        <w:rPr>
          <w:b/>
          <w:bCs/>
        </w:rPr>
        <w:t>Rozhodněte o následujícím tvrzení, zda jednoznačně vyplývá</w:t>
      </w:r>
      <w:r>
        <w:rPr>
          <w:b/>
          <w:bCs/>
        </w:rPr>
        <w:br w:type="textWrapping"/>
      </w:r>
      <w:r>
        <w:rPr>
          <w:b/>
          <w:bCs/>
        </w:rPr>
        <w:t xml:space="preserve">z výchozího textu (A), či nikoli (N). </w:t>
      </w:r>
    </w:p>
    <w:p w14:paraId="34F263A8">
      <w:pPr>
        <w:rPr>
          <w:rFonts w:hint="eastAsia"/>
          <w:b/>
          <w:bCs/>
        </w:rPr>
      </w:pPr>
    </w:p>
    <w:p w14:paraId="51E5EF55">
      <w:pPr>
        <w:rPr>
          <w:rFonts w:hint="eastAsia"/>
          <w:i/>
          <w:iCs/>
          <w:color w:val="C5000B"/>
        </w:rPr>
      </w:pPr>
      <w:r>
        <w:rPr>
          <w:i/>
          <w:iCs/>
        </w:rPr>
        <w:t>14.3 Postava Libuše v pověsti o Přemyslu Oráčovi vyjadřuje ve své řeči jinými</w:t>
      </w:r>
      <w:r>
        <w:rPr>
          <w:i/>
          <w:iCs/>
        </w:rPr>
        <w:br w:type="textWrapping"/>
      </w:r>
      <w:r>
        <w:rPr>
          <w:i/>
          <w:iCs/>
        </w:rPr>
        <w:t>slovy totéž, co prorok Samuel v jednom starověkém příběhu.</w:t>
      </w:r>
    </w:p>
    <w:p w14:paraId="7D1B7EC5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/>
      </w:r>
    </w:p>
    <w:p w14:paraId="22DB452D">
      <w:pPr>
        <w:rPr>
          <w:rFonts w:hint="eastAsia"/>
          <w:color w:val="EE0000"/>
          <w:sz w:val="28"/>
          <w:szCs w:val="28"/>
        </w:rPr>
      </w:pPr>
      <w:r>
        <w:rPr>
          <w:b/>
          <w:bCs/>
          <w:color w:val="EE0000"/>
          <w:sz w:val="28"/>
          <w:szCs w:val="28"/>
        </w:rPr>
        <w:t>Důkazy pro odpověď N:</w:t>
      </w:r>
    </w:p>
    <w:p w14:paraId="50F9A1B1">
      <w:pPr>
        <w:rPr>
          <w:rFonts w:hint="eastAsia"/>
          <w:b/>
          <w:bCs/>
        </w:rPr>
      </w:pPr>
    </w:p>
    <w:p w14:paraId="13BCF50C">
      <w:pPr>
        <w:rPr>
          <w:rFonts w:hint="eastAsia"/>
          <w:b/>
          <w:bCs/>
        </w:rPr>
      </w:pPr>
      <w:r>
        <w:rPr>
          <w:b/>
          <w:bCs/>
        </w:rPr>
        <w:t>1. Tvrzení 14.3 může nekorektně pokládat celou Libušinu řeč za tu její část, v níž hovořila o panování jediného muže.</w:t>
      </w:r>
    </w:p>
    <w:p w14:paraId="5311767F">
      <w:pPr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14:paraId="5FFBB542">
      <w:pPr>
        <w:numPr>
          <w:ilvl w:val="1"/>
          <w:numId w:val="4"/>
        </w:numPr>
        <w:rPr>
          <w:rFonts w:hint="eastAsia"/>
        </w:rPr>
      </w:pPr>
      <w:r>
        <w:t xml:space="preserve">Podle výchozího textu Libuše parafrázuje promluvu Samuela, </w:t>
      </w:r>
      <w:r>
        <w:rPr>
          <w:b/>
          <w:bCs/>
        </w:rPr>
        <w:t xml:space="preserve">když </w:t>
      </w:r>
      <w:r>
        <w:rPr>
          <w:b/>
          <w:bCs/>
          <w:i/>
          <w:iCs/>
        </w:rPr>
        <w:t>hovoří o panování jediného muže</w:t>
      </w:r>
      <w:r>
        <w:t xml:space="preserve">. Podle výchozího textu ovšem nevíme, zda v celé své řeči nehovořila ještě o něčem dalším, ani co to případně bylo. </w:t>
      </w:r>
    </w:p>
    <w:p w14:paraId="56659DFC">
      <w:pP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</w:pP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JS: 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>To je ovšem pro rozhodování o ne/platnosti výroku irelevantní. Ve výchozím textu jsou konstatována fakta, na jejichž základě se ne/platnost výroku posuzuje. Do úlohy nelze vnášet spekulace o tom, co výchozí text neobsahuje a co z něj nelze vyvodit. Takto bychom mohli zpochybnit jakékoli tvrzení.</w:t>
      </w: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 Tvrzení JV a OB nerespektuje elementární pravidlo pro vytváření tohoto typu testových úloh. </w:t>
      </w:r>
    </w:p>
    <w:p w14:paraId="740798EE">
      <w:pPr>
        <w:rPr>
          <w:rFonts w:hint="default"/>
          <w:lang w:val="cs-CZ"/>
        </w:rPr>
      </w:pPr>
    </w:p>
    <w:p w14:paraId="136AB3CD">
      <w:pPr>
        <w:rPr>
          <w:rFonts w:hint="eastAsia"/>
          <w:b/>
          <w:bCs/>
        </w:rPr>
      </w:pPr>
      <w:r>
        <w:br w:type="textWrapping"/>
      </w:r>
      <w:r>
        <w:rPr>
          <w:b/>
          <w:bCs/>
        </w:rPr>
        <w:t xml:space="preserve">1.2 </w:t>
      </w:r>
      <w:r>
        <w:t xml:space="preserve">Ze spojení </w:t>
      </w:r>
      <w:r>
        <w:rPr>
          <w:i/>
          <w:iCs/>
        </w:rPr>
        <w:t xml:space="preserve">[Libuše] … vyjadřuje </w:t>
      </w:r>
      <w:r>
        <w:rPr>
          <w:b/>
          <w:bCs/>
          <w:i/>
          <w:iCs/>
        </w:rPr>
        <w:t xml:space="preserve">ve své řeči </w:t>
      </w:r>
      <w:r>
        <w:t xml:space="preserve">(v tvrzení 14.3) není zřejmé, zda se tím myslí </w:t>
      </w:r>
      <w:r>
        <w:rPr>
          <w:b/>
          <w:bCs/>
        </w:rPr>
        <w:t xml:space="preserve">celá Libušina řeč, nebo jen její část </w:t>
      </w:r>
      <w:r>
        <w:t xml:space="preserve">(tj. zda se Libuše ve své řeči vyjadřuje také k něčemu dalšímu). </w:t>
      </w:r>
      <w:r>
        <w:rPr>
          <w:b/>
          <w:bCs/>
        </w:rPr>
        <w:t>Tvrzení 14.3 tudíž nemá jednoznačný výklad.</w:t>
      </w:r>
    </w:p>
    <w:p w14:paraId="7F807E7C">
      <w:pPr>
        <w:rPr>
          <w:rFonts w:hint="eastAsia"/>
          <w:color w:val="18A303" w:themeColor="accent1"/>
          <w14:textFill>
            <w14:solidFill>
              <w14:schemeClr w14:val="accent1"/>
            </w14:solidFill>
          </w14:textFill>
        </w:rPr>
      </w:pP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JS: 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>Viz bod 1.1.</w:t>
      </w:r>
    </w:p>
    <w:p w14:paraId="7F815208">
      <w:pPr>
        <w:rPr>
          <w:rFonts w:hint="eastAsia"/>
          <w:b/>
          <w:bCs/>
        </w:rPr>
      </w:pPr>
    </w:p>
    <w:p w14:paraId="1F34E7D5">
      <w:pPr>
        <w:rPr>
          <w:rFonts w:hint="eastAsia"/>
          <w:b/>
          <w:bCs/>
        </w:rPr>
      </w:pPr>
      <w:r>
        <w:t xml:space="preserve">Bez ohledu na to, k jakému výkladu se přikloníme, bychom mohli už v této fázi rozboru skončit konstatováním, že </w:t>
      </w:r>
      <w:r>
        <w:rPr>
          <w:b/>
          <w:bCs/>
        </w:rPr>
        <w:t>správná odpověď je N</w:t>
      </w:r>
      <w:r>
        <w:t xml:space="preserve">. Při výkladu „jde o celou řeč“ totiž tvrzení 14.3 nerespektuje, že výchozí text se prokazatelně týká jen toho, co Libuše řekla, když </w:t>
      </w:r>
      <w:r>
        <w:rPr>
          <w:i/>
          <w:iCs/>
        </w:rPr>
        <w:t>hovořila o panování jediného muže.</w:t>
      </w:r>
      <w:r>
        <w:t xml:space="preserve"> </w:t>
      </w:r>
      <w:r>
        <w:rPr>
          <w:b/>
          <w:bCs/>
        </w:rPr>
        <w:t>Tvrzení 14.3 tudíž nemůže jednoznačně vyplývat z výchozího textu.</w:t>
      </w:r>
    </w:p>
    <w:p w14:paraId="4BAE91A6">
      <w:pPr>
        <w:rPr>
          <w:rFonts w:hint="eastAsia"/>
          <w:color w:val="18A303" w:themeColor="accent1"/>
          <w14:textFill>
            <w14:solidFill>
              <w14:schemeClr w14:val="accent1"/>
            </w14:solidFill>
          </w14:textFill>
        </w:rPr>
      </w:pP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JS: 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>Pro rozhodování o ne/platnosti výroku je podstatné, že Libuše hovoří o panování jednoho muže a že řekla obsahově totéž, co Samuel ve své řeči Izraelitům. Opět: nelze vyvozovat závěry z toho, co ve výchozím textu není; není třeba se potenciálními dalšími částmi podkladu pro výchozí text k úloze vůbec zabývat.</w:t>
      </w:r>
    </w:p>
    <w:p w14:paraId="03165AC9">
      <w:pPr>
        <w:rPr>
          <w:rFonts w:hint="eastAsia"/>
        </w:rPr>
      </w:pPr>
    </w:p>
    <w:p w14:paraId="0BA57D75">
      <w:pPr>
        <w:rPr>
          <w:rFonts w:hint="eastAsia"/>
          <w:b/>
          <w:bCs/>
        </w:rPr>
      </w:pPr>
      <w:r>
        <w:br w:type="textWrapping"/>
      </w:r>
      <w:r>
        <w:rPr>
          <w:b/>
          <w:bCs/>
        </w:rPr>
        <w:t>2. Tvrzení 14.3 nerespektuje, že slovo „parafráze“ má dva odlišné významy, z nichž jeden se rozhodně liší od „vyjádření téhož jinými slovy“.</w:t>
      </w:r>
      <w:r>
        <w:rPr>
          <w:b/>
          <w:bCs/>
        </w:rPr>
        <w:br w:type="textWrapping"/>
      </w:r>
      <w:r>
        <w:t>Podle Internetové jazykové příručky Ústavu pro jazyk český AV ČR má slovo „parafráze“ ve třech výkladových slovnících (ASCS, SSČ a SSJČ) dva odlišné významy, z nichž jako první je uváděn význam „</w:t>
      </w:r>
      <w:r>
        <w:rPr>
          <w:b/>
          <w:bCs/>
        </w:rPr>
        <w:t xml:space="preserve">volné </w:t>
      </w:r>
      <w:r>
        <w:t xml:space="preserve">zpracování cizí předlohy“, který rozhodně neznamená „vyjádření téhož jinými slovy“ jako ve tvrzení 14.3. Formulaci tvrzení 14.3 je bližší druhý význam: „vyjádření téhož obsahu jiným způsobem“. Výchozí text ovšem nijak nenaznačuje, který význam slova „parafráze“ měl jeho autor na mysli, když je použil. </w:t>
      </w:r>
      <w:r>
        <w:rPr>
          <w:b/>
          <w:bCs/>
        </w:rPr>
        <w:t>Tvrzení 14.3 tak dává přednost druhému významu nanejvýš svévolně, bez opory ve výchozím textu. Správná odpověď je tudíž N.</w:t>
      </w:r>
    </w:p>
    <w:p w14:paraId="66CA99F7">
      <w:pPr>
        <w:rPr>
          <w:rFonts w:hint="eastAsia"/>
          <w:color w:val="18A303" w:themeColor="accent1"/>
          <w14:textFill>
            <w14:solidFill>
              <w14:schemeClr w14:val="accent1"/>
            </w14:solidFill>
          </w14:textFill>
        </w:rPr>
      </w:pP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JS: 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 xml:space="preserve">Výchozí text naopak jednoznačně naznačuje, v kterém významu je slovo parafráze užito: </w:t>
      </w:r>
      <w:r>
        <w:rPr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 xml:space="preserve">Pojetím role vládce se pověst </w:t>
      </w:r>
      <w:r>
        <w:rPr>
          <w:b/>
          <w:bCs/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>nijak neliší od biblických příběhů</w:t>
      </w:r>
      <w:r>
        <w:rPr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>.</w:t>
      </w:r>
    </w:p>
    <w:p w14:paraId="05818CDD">
      <w:pPr>
        <w:rPr>
          <w:rFonts w:hint="eastAsia"/>
          <w:b/>
          <w:bCs/>
        </w:rPr>
      </w:pPr>
    </w:p>
    <w:p w14:paraId="5605B34E">
      <w:pPr>
        <w:rPr>
          <w:rFonts w:hint="eastAsia"/>
          <w:b/>
          <w:bCs/>
        </w:rPr>
      </w:pPr>
    </w:p>
    <w:p w14:paraId="33BC99F1">
      <w:pPr>
        <w:rPr>
          <w:rFonts w:hint="eastAsia"/>
          <w:b/>
          <w:bCs/>
        </w:rPr>
      </w:pPr>
      <w:r>
        <w:rPr>
          <w:b/>
          <w:bCs/>
        </w:rPr>
        <w:t xml:space="preserve">3. Správnost nahrazení spojení „biblický příběh“ spojením „starověký příběh“ nevyplývá pouze z výchozího textu. </w:t>
      </w:r>
    </w:p>
    <w:p w14:paraId="656A8DE3">
      <w:pPr>
        <w:rPr>
          <w:rFonts w:hint="eastAsia"/>
          <w:b/>
          <w:bCs/>
        </w:rPr>
      </w:pPr>
      <w:r>
        <w:t>Posouzení správnosti tohoto nahrazení totiž vyžaduje také znalost, že vznik Bible je starověkou událostí (což lze pokládat za znalost víceméně triviální)</w:t>
      </w:r>
      <w:r>
        <w:commentReference w:id="0"/>
      </w:r>
      <w:r>
        <w:t xml:space="preserve"> a dále znalost, že vznik příběhu o promluvě proroka Samuela k Izraelitům, žádajícím o krále, je rovněž starověkou událostí. To už je ovšem znalost značně netriviální, neboť </w:t>
      </w:r>
      <w:r>
        <w:rPr>
          <w:b/>
          <w:bCs/>
        </w:rPr>
        <w:t>maturant musí vědět, že tento příběh nevznikl dříve</w:t>
      </w:r>
      <w:r>
        <w:t xml:space="preserve">. </w:t>
      </w:r>
      <w:r>
        <w:br w:type="textWrapping"/>
      </w:r>
      <w:r>
        <w:t xml:space="preserve">Za počátek starověku je totiž pokládáno období začínající přibližně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v polovině</w:t>
      </w:r>
      <w:r>
        <w:rPr>
          <w:color w:val="C5000B"/>
        </w:rPr>
        <w:t xml:space="preserve"> </w:t>
      </w:r>
      <w:r>
        <w:t xml:space="preserve">4. tisíciletí před naším letopočtem s nástupem prvních státních útvarů a používáním písma na územích Blízkého východu. I s touto znalostí je ovšem jednoznačné zařazení života proroka Samuela do starověku nemožné ‒ jeho promluva k Izraelitům se totiž mohla odehrát třeba těsně před koncem pravěku a celý příběh mohl být před písemným zaznamenáním tradován ústně. Správnost výše zmíněného nahrazení dokazuje teprve poznatek, že prorok Samuel žil přibližně mezi 11. a 10. stoletím před naším letopočtem. Ten není obsažen ve výchozím textu a rozhodně nepatří k tomu, co by měl znát maturant řešící maturitní test z českého jazyka a literatury. </w:t>
      </w:r>
      <w:r>
        <w:rPr>
          <w:b/>
          <w:bCs/>
        </w:rPr>
        <w:t>Správná odpověď je tudíž N.</w:t>
      </w:r>
    </w:p>
    <w:p w14:paraId="43D2276A">
      <w:pPr>
        <w:rPr>
          <w:color w:val="18A303" w:themeColor="accent1"/>
          <w14:textFill>
            <w14:solidFill>
              <w14:schemeClr w14:val="accent1"/>
            </w14:solidFill>
          </w14:textFill>
        </w:rPr>
      </w:pPr>
      <w:r>
        <w:rPr>
          <w:color w:val="18A303" w:themeColor="accent1"/>
          <w14:textFill>
            <w14:solidFill>
              <w14:schemeClr w14:val="accent1"/>
            </w14:solidFill>
          </w14:textFill>
        </w:rPr>
        <w:t>V pasáži</w:t>
      </w:r>
      <w:r>
        <w:rPr>
          <w:b/>
          <w:bCs/>
          <w:color w:val="18A303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 xml:space="preserve">Pojetím role vládce se pověst </w:t>
      </w:r>
      <w:r>
        <w:rPr>
          <w:b/>
          <w:bCs/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>nijak neliší od biblických příběhů</w:t>
      </w:r>
      <w:r>
        <w:rPr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 xml:space="preserve">: když Libuše před vysláním družiny poslů za Přemyslem </w:t>
      </w:r>
      <w:r>
        <w:rPr>
          <w:b/>
          <w:bCs/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>hovoří o panování jediného muže</w:t>
      </w:r>
      <w:r>
        <w:rPr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 xml:space="preserve">, jde o </w:t>
      </w:r>
      <w:r>
        <w:rPr>
          <w:b/>
          <w:bCs/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>parafrázi promluvy proroka Samuela</w:t>
      </w:r>
      <w:r>
        <w:rPr>
          <w:i/>
          <w:i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 xml:space="preserve"> k Izraelitům, žádajícím o krále.</w:t>
      </w:r>
      <w:r>
        <w:rPr>
          <w:i/>
          <w:iCs/>
          <w:color w:val="18A303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>se jedná o dvojí vyjádření téhož: z užití dvojtečky (:) je zřejmé, že textová část za dvojtečkou není (volně) připojenou další informací, ale konkretizací,</w:t>
      </w: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 rozvedením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 xml:space="preserve"> toho, co je uvedeno před dvojtečkou. Navíc představa, že by se mohl dochovat text z pravěku (v ústním podání), a to text, v němž se objevují reálie jako prorok Samuel a Izraelité, je zcela ahistorická. </w:t>
      </w:r>
    </w:p>
    <w:p w14:paraId="73A32C92">
      <w:pP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</w:pPr>
      <w:r>
        <w:rPr>
          <w:color w:val="18A303" w:themeColor="accent1"/>
          <w14:textFill>
            <w14:solidFill>
              <w14:schemeClr w14:val="accent1"/>
            </w14:solidFill>
          </w14:textFill>
        </w:rPr>
        <w:t xml:space="preserve">Pozn.: V tomto bodě </w:t>
      </w:r>
      <w:r>
        <w:rPr>
          <w:i/>
          <w:iCs/>
          <w:color w:val="18A303" w:themeColor="accent1"/>
          <w14:textFill>
            <w14:solidFill>
              <w14:schemeClr w14:val="accent1"/>
            </w14:solidFill>
          </w14:textFill>
        </w:rPr>
        <w:t>Pokyny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 xml:space="preserve"> popírají základní</w:t>
      </w: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 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 xml:space="preserve">kritickou výtku, již Jarmil Vepřek </w:t>
      </w: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uváděl </w:t>
      </w:r>
      <w:r>
        <w:rPr>
          <w:color w:val="18A303" w:themeColor="accent1"/>
          <w14:textFill>
            <w14:solidFill>
              <w14:schemeClr w14:val="accent1"/>
            </w14:solidFill>
          </w14:textFill>
        </w:rPr>
        <w:t>původně</w:t>
      </w:r>
      <w:bookmarkStart w:id="0" w:name="_GoBack"/>
      <w:bookmarkEnd w:id="0"/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: totiž tvrzení, že není možné z výchozího textu jednoznačně vyvodit to, co v něm není přímo uvedeno; v </w:t>
      </w:r>
      <w:r>
        <w:rPr>
          <w:rFonts w:hint="default"/>
          <w:i/>
          <w:iCs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>Pokynech</w:t>
      </w:r>
      <w:r>
        <w:rPr>
          <w:rFonts w:hint="default"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 xml:space="preserve"> naopak na využívání kontextových znalostí staví svoji argumentaci.</w:t>
      </w:r>
    </w:p>
    <w:p w14:paraId="703EE133">
      <w:pPr>
        <w:rPr>
          <w:rFonts w:hint="eastAsia"/>
          <w:b/>
          <w:bCs/>
        </w:rPr>
      </w:pPr>
    </w:p>
    <w:p w14:paraId="37525D9C">
      <w:pPr>
        <w:rPr>
          <w:rFonts w:hint="eastAsia"/>
          <w:b/>
          <w:bCs/>
        </w:rPr>
      </w:pPr>
    </w:p>
    <w:p w14:paraId="6DDDFBB7">
      <w:pPr>
        <w:rPr>
          <w:rFonts w:hint="eastAsia"/>
          <w:b/>
          <w:bCs/>
        </w:rPr>
      </w:pPr>
    </w:p>
    <w:p w14:paraId="780E97B5">
      <w:pPr>
        <w:rPr>
          <w:rFonts w:hint="eastAsia"/>
          <w:b/>
          <w:bCs/>
        </w:rPr>
      </w:pPr>
    </w:p>
    <w:p w14:paraId="62DF0140">
      <w:pPr>
        <w:rPr>
          <w:rFonts w:hint="eastAsia"/>
          <w:b/>
          <w:bCs/>
        </w:rPr>
      </w:pPr>
      <w:r>
        <w:rPr>
          <w:b/>
          <w:bCs/>
        </w:rPr>
        <w:t xml:space="preserve">4. Jak lze vyčíst z validačního protokolu zveřejněného na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cermat.gov.cz</w:t>
      </w:r>
      <w:r>
        <w:rPr>
          <w:b/>
          <w:bCs/>
          <w:color w:val="C5000B"/>
        </w:rPr>
        <w:t xml:space="preserve"> </w:t>
      </w:r>
      <w:r>
        <w:rPr>
          <w:b/>
          <w:bCs/>
        </w:rPr>
        <w:t>(viz níže), někým z 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validační </w:t>
      </w:r>
      <w:r>
        <w:rPr>
          <w:b/>
          <w:bCs/>
        </w:rPr>
        <w:t xml:space="preserve">komise byla proti úloze 14 vznesena námitka.  </w:t>
      </w:r>
    </w:p>
    <w:p w14:paraId="203FCFE4">
      <w:pPr>
        <w:rPr>
          <w:rFonts w:hint="eastAsia"/>
          <w:b/>
          <w:bCs/>
        </w:rPr>
      </w:pPr>
    </w:p>
    <w:p w14:paraId="4B1716EC">
      <w:pPr>
        <w:rPr>
          <w:rFonts w:hint="eastAsia"/>
          <w:b/>
          <w:bCs/>
        </w:rPr>
      </w:pPr>
      <w:r>
        <w:drawing>
          <wp:inline distT="0" distB="0" distL="0" distR="0">
            <wp:extent cx="3829050" cy="2712085"/>
            <wp:effectExtent l="0" t="0" r="0" b="0"/>
            <wp:docPr id="2" name="Obrázek3" descr="Obsah obrázku snímek obrazovky, text, čtverec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Obsah obrázku snímek obrazovky, text, čtverec, řada/pruh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1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7454F">
      <w:pPr>
        <w:rPr>
          <w:rFonts w:hint="eastAsia"/>
          <w:b/>
          <w:bCs/>
        </w:rPr>
      </w:pPr>
    </w:p>
    <w:p w14:paraId="108ABEEB">
      <w:pP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5. V </w:t>
      </w:r>
      <w:r>
        <w:rPr>
          <w:b/>
          <w:bCs/>
          <w:color w:val="000000" w:themeColor="text1"/>
          <w:u w:val="single"/>
          <w14:textFill>
            <w14:solidFill>
              <w14:schemeClr w14:val="tx1"/>
            </w14:solidFill>
          </w14:textFill>
        </w:rPr>
        <w:t>Klíči správných řešení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je u podúlohy 14.3 uvedena odpověď ANO a tomu odpovídá rovněž bodové hodnocení mých odpovědí na úlohu 14. Skutečnost, že Cermat označil za správnou odpověď ANO, však ‒ jak jsem uvedl výše ‒ odporuje současnému stavu vědeckého poznání. Je tedy v rozporu se zásadou vzdělávání uvedenou pod písmenem e) odst. 1 § 2 zákona č. 561/2004 Sb. (školský zákon).</w:t>
      </w:r>
    </w:p>
    <w:p w14:paraId="35CB0155">
      <w:pPr>
        <w:rPr>
          <w:rFonts w:hint="eastAsia"/>
          <w:b/>
          <w:bCs/>
        </w:rPr>
      </w:pPr>
    </w:p>
    <w:p w14:paraId="47FEEA0D">
      <w:pP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Na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základě všech výše uvedených argumentů požaduji, aby byla u podúlohy 14.3 uznána za správnou moje odpověď NE, jakkoli se při nekritickém čtení zdá být správnou odpovědí ANO. Současně požaduji, aby byl odpovídajícím způsobem přepočítán můj výsledek v testu. </w:t>
      </w:r>
    </w:p>
    <w:p w14:paraId="1965DC34">
      <w:pP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6D094F4F">
      <w:pPr>
        <w:rPr>
          <w:b/>
          <w:bCs/>
          <w:color w:val="0000FF"/>
          <w:u w:val="single"/>
        </w:rPr>
      </w:pPr>
    </w:p>
    <w:p w14:paraId="0D7BED30">
      <w:pPr>
        <w:rPr>
          <w:b/>
          <w:bCs/>
          <w:color w:val="0000FF"/>
          <w:u w:val="single"/>
        </w:rPr>
      </w:pPr>
    </w:p>
    <w:p w14:paraId="4A8B0292">
      <w:pPr>
        <w:rPr>
          <w:b/>
          <w:bCs/>
          <w:color w:val="0000FF"/>
          <w:u w:val="single"/>
        </w:rPr>
      </w:pPr>
    </w:p>
    <w:p w14:paraId="44098D48">
      <w:pPr>
        <w:rPr>
          <w:b/>
          <w:bCs/>
          <w:color w:val="18A303" w:themeColor="accent1"/>
          <w:u w:val="single"/>
          <w14:textFill>
            <w14:solidFill>
              <w14:schemeClr w14:val="accent1"/>
            </w14:solidFill>
          </w14:textFill>
        </w:rPr>
      </w:pPr>
    </w:p>
    <w:p w14:paraId="73BD6472">
      <w:pPr>
        <w:rPr>
          <w:rFonts w:hint="eastAsia"/>
          <w:b/>
          <w:bCs/>
          <w:color w:val="18A303" w:themeColor="accent1"/>
          <w:u w:val="single"/>
          <w14:textFill>
            <w14:solidFill>
              <w14:schemeClr w14:val="accent1"/>
            </w14:solidFill>
          </w14:textFill>
        </w:rPr>
      </w:pPr>
      <w:r>
        <w:rPr>
          <w:rFonts w:hint="default"/>
          <w:b/>
          <w:bCs/>
          <w:color w:val="18A303" w:themeColor="accent1"/>
          <w:u w:val="single"/>
          <w:lang w:val="cs-CZ"/>
          <w14:textFill>
            <w14:solidFill>
              <w14:schemeClr w14:val="accent1"/>
            </w14:solidFill>
          </w14:textFill>
        </w:rPr>
        <w:t xml:space="preserve">JS: </w:t>
      </w:r>
      <w:r>
        <w:rPr>
          <w:b/>
          <w:bCs/>
          <w:color w:val="18A303" w:themeColor="accent1"/>
          <w:u w:val="single"/>
          <w14:textFill>
            <w14:solidFill>
              <w14:schemeClr w14:val="accent1"/>
            </w14:solidFill>
          </w14:textFill>
        </w:rPr>
        <w:t xml:space="preserve">Závěr: </w:t>
      </w:r>
    </w:p>
    <w:p w14:paraId="43C3540A">
      <w:pPr>
        <w:rPr>
          <w:rFonts w:hint="eastAsia"/>
          <w:b/>
          <w:bCs/>
          <w:color w:val="18A303" w:themeColor="accent1"/>
          <w14:textFill>
            <w14:solidFill>
              <w14:schemeClr w14:val="accent1"/>
            </w14:solidFill>
          </w14:textFill>
        </w:rPr>
      </w:pPr>
      <w:r>
        <w:rPr>
          <w:b/>
          <w:bCs/>
          <w:color w:val="18A303" w:themeColor="accent1"/>
          <w14:textFill>
            <w14:solidFill>
              <w14:schemeClr w14:val="accent1"/>
            </w14:solidFill>
          </w14:textFill>
        </w:rPr>
        <w:t xml:space="preserve">Veškeré vývody v </w:t>
      </w:r>
      <w:r>
        <w:rPr>
          <w:b/>
          <w:bCs/>
          <w:i/>
          <w:iCs/>
          <w:color w:val="18A303" w:themeColor="accent1"/>
          <w14:textFill>
            <w14:solidFill>
              <w14:schemeClr w14:val="accent1"/>
            </w14:solidFill>
          </w14:textFill>
        </w:rPr>
        <w:t>Pokynech</w:t>
      </w:r>
      <w:r>
        <w:rPr>
          <w:b/>
          <w:bCs/>
          <w:color w:val="18A303" w:themeColor="accent1"/>
          <w14:textFill>
            <w14:solidFill>
              <w14:schemeClr w14:val="accent1"/>
            </w14:solidFill>
          </w14:textFill>
        </w:rPr>
        <w:t xml:space="preserve"> Oldřicha Botlík</w:t>
      </w:r>
      <w:r>
        <w:rPr>
          <w:rFonts w:hint="default"/>
          <w:b/>
          <w:bCs/>
          <w:color w:val="18A303" w:themeColor="accent1"/>
          <w:lang w:val="cs-CZ"/>
          <w14:textFill>
            <w14:solidFill>
              <w14:schemeClr w14:val="accent1"/>
            </w14:solidFill>
          </w14:textFill>
        </w:rPr>
        <w:t>a</w:t>
      </w:r>
      <w:r>
        <w:rPr>
          <w:b/>
          <w:bCs/>
          <w:color w:val="18A303" w:themeColor="accent1"/>
          <w14:textFill>
            <w14:solidFill>
              <w14:schemeClr w14:val="accent1"/>
            </w14:solidFill>
          </w14:textFill>
        </w:rPr>
        <w:t xml:space="preserve"> a Jarmila Vepřeka jsou liché. Řečeno expresivněji, </w:t>
      </w:r>
      <w:r>
        <w:rPr>
          <w:b/>
          <w:bCs/>
          <w:i/>
          <w:iCs/>
          <w:color w:val="18A303" w:themeColor="accent1"/>
          <w14:textFill>
            <w14:solidFill>
              <w14:schemeClr w14:val="accent1"/>
            </w14:solidFill>
          </w14:textFill>
        </w:rPr>
        <w:t>Pokyny</w:t>
      </w:r>
      <w:r>
        <w:rPr>
          <w:b/>
          <w:bCs/>
          <w:color w:val="18A303" w:themeColor="accent1"/>
          <w14:textFill>
            <w14:solidFill>
              <w14:schemeClr w14:val="accent1"/>
            </w14:solidFill>
          </w14:textFill>
        </w:rPr>
        <w:t xml:space="preserve"> ukazují a) účelovou práci s textem, b) překvapivou neschopnost text interpretovat.</w:t>
      </w:r>
    </w:p>
    <w:p w14:paraId="377BC964">
      <w:pPr>
        <w:rPr>
          <w:rFonts w:hint="eastAsia"/>
          <w:b/>
          <w:bCs/>
        </w:rPr>
      </w:pPr>
    </w:p>
    <w:p w14:paraId="22E9DF4A">
      <w:pPr>
        <w:rPr>
          <w:rFonts w:hint="eastAsia"/>
          <w:i/>
          <w:iCs/>
        </w:rPr>
      </w:pPr>
    </w:p>
    <w:sectPr>
      <w:pgSz w:w="11906" w:h="16838"/>
      <w:pgMar w:top="1134" w:right="1134" w:bottom="1134" w:left="1134" w:header="0" w:footer="0" w:gutter="0"/>
      <w:cols w:space="708" w:num="1"/>
      <w:formProt w:val="0"/>
      <w:docGrid w:linePitch="10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GG" w:date="2025-05-24T21:47:50Z" w:initials="G">
    <w:p w14:paraId="1FBE2A01">
      <w:pPr>
        <w:pStyle w:val="6"/>
        <w:rPr>
          <w:rFonts w:hint="default"/>
          <w:lang w:val="cs-CZ"/>
        </w:rPr>
      </w:pPr>
      <w:r>
        <w:rPr>
          <w:rFonts w:hint="default"/>
          <w:lang w:val="cs-CZ"/>
        </w:rPr>
        <w:t>Zde chybí interpunkční čárka (poznámka JS).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FBE2A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OpenSymbol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11031"/>
    <w:multiLevelType w:val="multilevel"/>
    <w:tmpl w:val="00D11031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377A0758"/>
    <w:multiLevelType w:val="multilevel"/>
    <w:tmpl w:val="377A07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</w:rPr>
    </w:lvl>
  </w:abstractNum>
  <w:num w:numId="1">
    <w:abstractNumId w:val="1"/>
  </w:num>
  <w:num w:numId="2">
    <w:abstractNumId w:val="1"/>
    <w:lvlOverride w:ilvl="0">
      <w:startOverride w:val="1"/>
      <w:lvl w:ilvl="0" w:tentative="1">
        <w:start w:val="1"/>
        <w:numFmt w:val="bullet"/>
        <w:lvlText w:val=""/>
        <w:lvlJc w:val="left"/>
        <w:pPr>
          <w:tabs>
            <w:tab w:val="left" w:pos="720"/>
          </w:tabs>
          <w:ind w:left="720" w:hanging="283"/>
        </w:pPr>
        <w:rPr>
          <w:rFonts w:hint="default" w:ascii="Symbol" w:hAnsi="Symbol" w:cs="Symbol"/>
        </w:r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1080"/>
          </w:tabs>
          <w:ind w:left="1080" w:hanging="360"/>
        </w:pPr>
        <w:rPr>
          <w:rFonts w:ascii="Liberation Serif" w:hAnsi="Liberation Serif" w:cs="Symbol"/>
        </w:r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1440"/>
          </w:tabs>
          <w:ind w:left="1440" w:hanging="360"/>
        </w:pPr>
        <w:rPr>
          <w:rFonts w:ascii="Liberation Serif" w:hAnsi="Liberation Serif" w:cs="Symbol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1800"/>
          </w:tabs>
          <w:ind w:left="1800" w:hanging="360"/>
        </w:pPr>
        <w:rPr>
          <w:rFonts w:ascii="Liberation Serif" w:hAnsi="Liberation Serif" w:cs="Symbol"/>
        </w:r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2160"/>
          </w:tabs>
          <w:ind w:left="2160" w:hanging="360"/>
        </w:pPr>
        <w:rPr>
          <w:rFonts w:ascii="Liberation Serif" w:hAnsi="Liberation Serif" w:cs="Symbol"/>
        </w:r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2520"/>
          </w:tabs>
          <w:ind w:left="2520" w:hanging="360"/>
        </w:pPr>
        <w:rPr>
          <w:rFonts w:ascii="Liberation Serif" w:hAnsi="Liberation Serif" w:cs="Symbol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880"/>
          </w:tabs>
          <w:ind w:left="2880" w:hanging="360"/>
        </w:pPr>
        <w:rPr>
          <w:rFonts w:ascii="Liberation Serif" w:hAnsi="Liberation Serif" w:cs="Symbol"/>
        </w:r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3240"/>
          </w:tabs>
          <w:ind w:left="3240" w:hanging="360"/>
        </w:pPr>
        <w:rPr>
          <w:rFonts w:ascii="Liberation Serif" w:hAnsi="Liberation Serif" w:cs="Symbol"/>
        </w:r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3600"/>
          </w:tabs>
          <w:ind w:left="3600" w:hanging="360"/>
        </w:pPr>
        <w:rPr>
          <w:rFonts w:ascii="Liberation Serif" w:hAnsi="Liberation Serif" w:cs="Symbol"/>
        </w:rPr>
      </w:lvl>
    </w:lvlOverride>
  </w:num>
  <w:num w:numId="3">
    <w:abstractNumId w:val="1"/>
    <w:lvlOverride w:ilvl="0">
      <w:startOverride w:val="1"/>
      <w:lvl w:ilvl="0" w:tentative="1">
        <w:start w:val="1"/>
        <w:numFmt w:val="bullet"/>
        <w:lvlText w:val=""/>
        <w:lvlJc w:val="left"/>
        <w:pPr>
          <w:tabs>
            <w:tab w:val="left" w:pos="720"/>
          </w:tabs>
          <w:ind w:left="720" w:hanging="283"/>
        </w:pPr>
        <w:rPr>
          <w:rFonts w:hint="default" w:ascii="Symbol" w:hAnsi="Symbol" w:cs="Symbol"/>
        </w:r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1080"/>
          </w:tabs>
          <w:ind w:left="1080" w:hanging="360"/>
        </w:pPr>
        <w:rPr>
          <w:rFonts w:ascii="Liberation Serif" w:hAnsi="Liberation Serif" w:cs="Symbol"/>
        </w:r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1440"/>
          </w:tabs>
          <w:ind w:left="1440" w:hanging="360"/>
        </w:pPr>
        <w:rPr>
          <w:rFonts w:ascii="Liberation Serif" w:hAnsi="Liberation Serif" w:cs="Symbol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1800"/>
          </w:tabs>
          <w:ind w:left="1800" w:hanging="360"/>
        </w:pPr>
        <w:rPr>
          <w:rFonts w:ascii="Liberation Serif" w:hAnsi="Liberation Serif" w:cs="Symbol"/>
        </w:r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2160"/>
          </w:tabs>
          <w:ind w:left="2160" w:hanging="360"/>
        </w:pPr>
        <w:rPr>
          <w:rFonts w:ascii="Liberation Serif" w:hAnsi="Liberation Serif" w:cs="Symbol"/>
        </w:r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2520"/>
          </w:tabs>
          <w:ind w:left="2520" w:hanging="360"/>
        </w:pPr>
        <w:rPr>
          <w:rFonts w:ascii="Liberation Serif" w:hAnsi="Liberation Serif" w:cs="Symbol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880"/>
          </w:tabs>
          <w:ind w:left="2880" w:hanging="360"/>
        </w:pPr>
        <w:rPr>
          <w:rFonts w:ascii="Liberation Serif" w:hAnsi="Liberation Serif" w:cs="Symbol"/>
        </w:r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3240"/>
          </w:tabs>
          <w:ind w:left="3240" w:hanging="360"/>
        </w:pPr>
        <w:rPr>
          <w:rFonts w:ascii="Liberation Serif" w:hAnsi="Liberation Serif" w:cs="Symbol"/>
        </w:r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3600"/>
          </w:tabs>
          <w:ind w:left="3600" w:hanging="360"/>
        </w:pPr>
        <w:rPr>
          <w:rFonts w:ascii="Liberation Serif" w:hAnsi="Liberation Serif" w:cs="Symbol"/>
        </w:rPr>
      </w:lvl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GG">
    <w15:presenceInfo w15:providerId="None" w15:userId="GG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1"/>
    <w:rsid w:val="00056248"/>
    <w:rsid w:val="002F7970"/>
    <w:rsid w:val="003B0F2C"/>
    <w:rsid w:val="004526AE"/>
    <w:rsid w:val="00476794"/>
    <w:rsid w:val="00523C31"/>
    <w:rsid w:val="00844EF6"/>
    <w:rsid w:val="009E6EEB"/>
    <w:rsid w:val="00DA7E76"/>
    <w:rsid w:val="00E55522"/>
    <w:rsid w:val="00F12738"/>
    <w:rsid w:val="019352E6"/>
    <w:rsid w:val="0A693854"/>
    <w:rsid w:val="1DBF6CB2"/>
    <w:rsid w:val="34191446"/>
    <w:rsid w:val="44C218A3"/>
    <w:rsid w:val="5CDB79BB"/>
    <w:rsid w:val="5D460D2F"/>
    <w:rsid w:val="62B92508"/>
    <w:rsid w:val="719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SimSun" w:cs="Arial Unicode MS"/>
      <w:kern w:val="2"/>
      <w:sz w:val="24"/>
      <w:szCs w:val="24"/>
      <w:lang w:val="cs-CZ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character" w:styleId="7">
    <w:name w:val="FollowedHyperlink"/>
    <w:basedOn w:val="2"/>
    <w:semiHidden/>
    <w:unhideWhenUsed/>
    <w:qFormat/>
    <w:uiPriority w:val="99"/>
    <w:rPr>
      <w:color w:val="551A8B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0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qFormat/>
    <w:uiPriority w:val="0"/>
    <w:rPr>
      <w:color w:val="000080"/>
      <w:u w:val="single"/>
    </w:rPr>
  </w:style>
  <w:style w:type="paragraph" w:styleId="13">
    <w:name w:val="List"/>
    <w:basedOn w:val="4"/>
    <w:qFormat/>
    <w:uiPriority w:val="0"/>
  </w:style>
  <w:style w:type="character" w:customStyle="1" w:styleId="14">
    <w:name w:val="Odrážky"/>
    <w:qFormat/>
    <w:uiPriority w:val="0"/>
    <w:rPr>
      <w:rFonts w:ascii="OpenSymbol" w:hAnsi="OpenSymbol" w:eastAsia="OpenSymbol" w:cs="OpenSymbol"/>
    </w:rPr>
  </w:style>
  <w:style w:type="character" w:customStyle="1" w:styleId="15">
    <w:name w:val="Nevyřešená zmínka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Nadpis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7">
    <w:name w:val="Rejstřík"/>
    <w:basedOn w:val="1"/>
    <w:qFormat/>
    <w:uiPriority w:val="0"/>
    <w:pPr>
      <w:suppressLineNumbers/>
    </w:pPr>
  </w:style>
  <w:style w:type="paragraph" w:customStyle="1" w:styleId="18">
    <w:name w:val="Nadpis (user)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9">
    <w:name w:val="Rejstřík (user)"/>
    <w:basedOn w:val="1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1427</Words>
  <Characters>8426</Characters>
  <Lines>70</Lines>
  <Paragraphs>19</Paragraphs>
  <TotalTime>16</TotalTime>
  <ScaleCrop>false</ScaleCrop>
  <LinksUpToDate>false</LinksUpToDate>
  <CharactersWithSpaces>9834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2025-05-20T16:28:00Z</dcterms:created>
  <dc:creator>Jarmil Vepřek</dc:creator>
  <cp:lastModifiedBy>GGG</cp:lastModifiedBy>
  <cp:lastPrinted>2025-05-16T09:46:00Z</cp:lastPrinted>
  <dcterms:modified xsi:type="dcterms:W3CDTF">2025-05-25T18:47:28Z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6253FBD0AFD545CA8E3DB18F848FCBCC_13</vt:lpwstr>
  </property>
</Properties>
</file>