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20C2" w:rsidRDefault="00C853D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>Stanovisko zást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highlight w:val="white"/>
        </w:rPr>
        <w:t>upců oborů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br/>
        <w:t>k pojetí vzdělávací oblasti Umění a kultura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br/>
        <w:t>v rámci revizí RVP ZV</w:t>
      </w:r>
    </w:p>
    <w:p w14:paraId="00000002" w14:textId="77777777" w:rsidR="001C20C2" w:rsidRDefault="001C20C2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 posledních letech probíhají intenzivní práce na revizi Rámcového vzdělávacího programu pro základní vzdělávání (dále RVP ZV) a odborné diskuse s ní související. Dne 21. 3. 2022 byly zveřejněny “Hlavní směry revize Rámcového vzdělávacího programu pro zákl</w:t>
      </w:r>
      <w:r>
        <w:rPr>
          <w:rFonts w:ascii="Cambria" w:eastAsia="Cambria" w:hAnsi="Cambria" w:cs="Cambria"/>
          <w:sz w:val="24"/>
          <w:szCs w:val="24"/>
        </w:rPr>
        <w:t>adní vzdělávání. Verze pro připomínkování.”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sz w:val="24"/>
          <w:szCs w:val="24"/>
        </w:rPr>
        <w:t xml:space="preserve"> (dále Hlavní směry) a nyní jsou nabídnuty k veřejnému připomínkování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0000004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Mnozí z nás, kteří jsme členy odborných skupin pro oblast Umění a kultura, jsme byli zaskočeni tím, že mnohé z toho, co jsme dlouhodobě při</w:t>
      </w:r>
      <w:r>
        <w:rPr>
          <w:rFonts w:ascii="Cambria" w:eastAsia="Cambria" w:hAnsi="Cambria" w:cs="Cambria"/>
          <w:sz w:val="24"/>
          <w:szCs w:val="24"/>
        </w:rPr>
        <w:t xml:space="preserve">pravovali, je v tomto materiálu opomenuto. Jde zejména o celkové pojetí uměleckého vzdělávání a oblasti Umění a kultura v kontextu Rámcového vzdělávacího programu pro základní vzdělávání a postavení jednotlivých uměleckých oborů v této oblasti. Proto </w:t>
      </w:r>
      <w:r>
        <w:rPr>
          <w:rFonts w:ascii="Cambria" w:eastAsia="Cambria" w:hAnsi="Cambria" w:cs="Cambria"/>
          <w:b/>
          <w:sz w:val="24"/>
          <w:szCs w:val="24"/>
        </w:rPr>
        <w:t>považ</w:t>
      </w:r>
      <w:r>
        <w:rPr>
          <w:rFonts w:ascii="Cambria" w:eastAsia="Cambria" w:hAnsi="Cambria" w:cs="Cambria"/>
          <w:b/>
          <w:sz w:val="24"/>
          <w:szCs w:val="24"/>
        </w:rPr>
        <w:t>ujeme za zcela zásadní se oblastí Umění a kultura v RVP ZV zabývat zevrubně</w:t>
      </w:r>
      <w:r>
        <w:rPr>
          <w:rFonts w:ascii="Cambria" w:eastAsia="Cambria" w:hAnsi="Cambria" w:cs="Cambria"/>
          <w:sz w:val="24"/>
          <w:szCs w:val="24"/>
        </w:rPr>
        <w:t>, v souladu s naznačenými směry uvažování o novém kurikulu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Nejen proto, že v této oblasti působíme, ale především proto, že si uvědomujeme obrovský potenciál, který umění a kultura</w:t>
      </w:r>
      <w:r>
        <w:rPr>
          <w:rFonts w:ascii="Cambria" w:eastAsia="Cambria" w:hAnsi="Cambria" w:cs="Cambria"/>
          <w:sz w:val="24"/>
          <w:szCs w:val="24"/>
        </w:rPr>
        <w:t xml:space="preserve"> má pro rozvoj žáků, po kterém revize RVP ZV volá. </w:t>
      </w:r>
    </w:p>
    <w:p w14:paraId="00000005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Nová podoba Rámcového vzdělávacího programu pro základní vzdělávání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ovlivní podobu našeho základního vzdělávání na mnoho let. Oceňujeme, že se Hlavní směry revize hlásí k mnoha pozitivním principům stávaj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ícího RVP a progresivních trendů popsaných ve Strategii 2030+, zejména ke kompetenčnímu pojetí. Z našeho pohledu je ale zarážející, že tento materiál jen zcela okrajově zmiňuje oblast Umění a kultura. Ještě více nás překvapuje, že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ve výčtu klíčových kompet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encí chybí kompetence v oblasti kulturního povědomí a vyjadřování</w:t>
      </w:r>
      <w:r>
        <w:rPr>
          <w:rFonts w:ascii="Cambria" w:eastAsia="Cambria" w:hAnsi="Cambria" w:cs="Cambria"/>
          <w:sz w:val="24"/>
          <w:szCs w:val="24"/>
          <w:highlight w:val="white"/>
        </w:rPr>
        <w:t>, které jsou součástí Evropského referenčního rámce o klíčových kompetencích:</w:t>
      </w:r>
    </w:p>
    <w:p w14:paraId="00000006" w14:textId="77777777" w:rsidR="001C20C2" w:rsidRDefault="00C85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“Kompetence v oblasti kulturního povědomí a vyjadřování zahrnuje porozumění a respekt k tomu, jak jsou myšlenky a</w:t>
      </w:r>
      <w:r>
        <w:rPr>
          <w:rFonts w:ascii="Cambria" w:eastAsia="Cambria" w:hAnsi="Cambria" w:cs="Cambria"/>
          <w:i/>
          <w:sz w:val="24"/>
          <w:szCs w:val="24"/>
        </w:rPr>
        <w:t xml:space="preserve"> význam kreativně vyjadřovány a sdělovány v různých kulturách a prostřednictvím řady umění a jiných kulturních forem. Zahrnuje porozumění, rozvíjení a vyjadřování vlastních myšlenek a smyslu pro místo nebo roli kultury a umění ve společnosti různým způsobe</w:t>
      </w:r>
      <w:r>
        <w:rPr>
          <w:rFonts w:ascii="Cambria" w:eastAsia="Cambria" w:hAnsi="Cambria" w:cs="Cambria"/>
          <w:i/>
          <w:sz w:val="24"/>
          <w:szCs w:val="24"/>
        </w:rPr>
        <w:t>m a různých a kontextech. … Tato kompetence vyžaduje znalost místních, národních, evropských a globálních kultur a projevů, včetně jejich jazyků, dědictví, tradic a kulturních produktů, a porozumění tomu, jak se mohou tyto projevy navzájem ovlivňovat i jak</w:t>
      </w:r>
      <w:r>
        <w:rPr>
          <w:rFonts w:ascii="Cambria" w:eastAsia="Cambria" w:hAnsi="Cambria" w:cs="Cambria"/>
          <w:i/>
          <w:sz w:val="24"/>
          <w:szCs w:val="24"/>
        </w:rPr>
        <w:t xml:space="preserve"> mohou ovlivňovat myšlenky jedince. Patří sem pochopení různých způsobů sdělování myšlenek mezi tvůrcem, účastníkem a publikem ve formě psaných, tištěných a digitálních textů, divadla, filmu, tance, her, umění a designu, hudby, rituálů a architektury, jako</w:t>
      </w:r>
      <w:r>
        <w:rPr>
          <w:rFonts w:ascii="Cambria" w:eastAsia="Cambria" w:hAnsi="Cambria" w:cs="Cambria"/>
          <w:i/>
          <w:sz w:val="24"/>
          <w:szCs w:val="24"/>
        </w:rPr>
        <w:t xml:space="preserve">ž i hybridních forem. Vyžadují porozumění vlastní vyvíjející se identitě ve světě kulturní </w:t>
      </w:r>
      <w:r>
        <w:rPr>
          <w:rFonts w:ascii="Cambria" w:eastAsia="Cambria" w:hAnsi="Cambria" w:cs="Cambria"/>
          <w:i/>
          <w:sz w:val="24"/>
          <w:szCs w:val="24"/>
        </w:rPr>
        <w:lastRenderedPageBreak/>
        <w:t>rozmanitosti a dále tomu, jak mohou umění a jiné kulturní formy přispívat k nahlížení světa a zároveň jeho formování . …”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footnoteReference w:id="3"/>
      </w:r>
    </w:p>
    <w:p w14:paraId="00000007" w14:textId="77777777" w:rsidR="001C20C2" w:rsidRDefault="001C20C2">
      <w:pPr>
        <w:shd w:val="clear" w:color="auto" w:fill="FFFFFF"/>
        <w:jc w:val="both"/>
        <w:rPr>
          <w:rFonts w:ascii="Cambria" w:eastAsia="Cambria" w:hAnsi="Cambria" w:cs="Cambria"/>
          <w:sz w:val="24"/>
          <w:szCs w:val="24"/>
        </w:rPr>
      </w:pPr>
    </w:p>
    <w:p w14:paraId="00000008" w14:textId="77777777" w:rsidR="001C20C2" w:rsidRDefault="00C853DA">
      <w:pPr>
        <w:shd w:val="clear" w:color="auto" w:fill="FFFFFF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Rádi bychom připomněli, </w:t>
      </w:r>
      <w:r>
        <w:rPr>
          <w:rFonts w:ascii="Cambria" w:eastAsia="Cambria" w:hAnsi="Cambria" w:cs="Cambria"/>
          <w:b/>
          <w:sz w:val="24"/>
          <w:szCs w:val="24"/>
        </w:rPr>
        <w:t>že se k potřebě p</w:t>
      </w:r>
      <w:r>
        <w:rPr>
          <w:rFonts w:ascii="Cambria" w:eastAsia="Cambria" w:hAnsi="Cambria" w:cs="Cambria"/>
          <w:b/>
          <w:sz w:val="24"/>
          <w:szCs w:val="24"/>
        </w:rPr>
        <w:t>osílit místo a význam uměleckého vzdělávání v rámci základního vzdělávání hlásí Česká republika dlouhodobě.</w:t>
      </w:r>
      <w:r>
        <w:rPr>
          <w:rFonts w:ascii="Cambria" w:eastAsia="Cambria" w:hAnsi="Cambria" w:cs="Cambria"/>
          <w:sz w:val="24"/>
          <w:szCs w:val="24"/>
        </w:rPr>
        <w:t xml:space="preserve"> Je například signatářem závěrů “Druhé světové konference o uměleckém vzdělávání”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4"/>
      </w:r>
      <w:r>
        <w:rPr>
          <w:rFonts w:ascii="Cambria" w:eastAsia="Cambria" w:hAnsi="Cambria" w:cs="Cambria"/>
          <w:sz w:val="24"/>
          <w:szCs w:val="24"/>
        </w:rPr>
        <w:t xml:space="preserve">, kde je jako první definován a konkretizován tento cíl: </w:t>
      </w:r>
    </w:p>
    <w:p w14:paraId="00000009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Cíl č. 1:</w:t>
      </w:r>
      <w:r>
        <w:rPr>
          <w:rFonts w:ascii="Cambria" w:eastAsia="Cambria" w:hAnsi="Cambria" w:cs="Cambria"/>
          <w:i/>
          <w:sz w:val="24"/>
          <w:szCs w:val="24"/>
        </w:rPr>
        <w:t xml:space="preserve"> Zajistit, aby umělecká výchova byla dostupná jako základní a udržitelná součást vysoce kvalitní obnovy vzdělávání</w:t>
      </w:r>
    </w:p>
    <w:p w14:paraId="0000000A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Strategie</w:t>
      </w:r>
    </w:p>
    <w:p w14:paraId="0000000B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1.a Potvrdit uměleckou výchovu jako základ pro vyvážený kreativní, kognitivní, emocionální, estetický a sociální rozvoj dětí, mládeže a celoživotního učení studentů</w:t>
      </w:r>
    </w:p>
    <w:p w14:paraId="0000000C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Opatření</w:t>
      </w:r>
    </w:p>
    <w:p w14:paraId="0000000D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1.a (i) Vypracovat koncepce a využít zdroje k zajištění udržitelného přístupu:</w:t>
      </w:r>
    </w:p>
    <w:p w14:paraId="0000000E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- k</w:t>
      </w:r>
      <w:r>
        <w:rPr>
          <w:rFonts w:ascii="Cambria" w:eastAsia="Cambria" w:hAnsi="Cambria" w:cs="Cambria"/>
          <w:i/>
          <w:sz w:val="24"/>
          <w:szCs w:val="24"/>
        </w:rPr>
        <w:t xml:space="preserve"> uceleným studiím ve všech oblastech umění pro studenty na všech úrovních vzdělávání jako součásti všeobecného a holistického vzdělávání,</w:t>
      </w:r>
    </w:p>
    <w:p w14:paraId="0000000F" w14:textId="77777777" w:rsidR="001C20C2" w:rsidRDefault="00C853DA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…</w:t>
      </w:r>
    </w:p>
    <w:p w14:paraId="00000010" w14:textId="77777777" w:rsidR="001C20C2" w:rsidRDefault="00C85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V souvislosti s výše uvedeným sledujeme s velkými rozpaky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opětovné upozadění oblasti Umění a kultura a tendenci rigi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dně redukovat tuto oblast na dva “tradiční" obory, hudební a výtvarnou výchovu, bez respektu k tomu, že umělecké vzdělávání v současnosti významně spoluvytvářejí i další obory - dramatická výchova, taneční a pohybová výchova a filmová a audiovizuální výcho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va.</w:t>
      </w:r>
      <w:r>
        <w:rPr>
          <w:rFonts w:ascii="Cambria" w:eastAsia="Cambria" w:hAnsi="Cambria" w:cs="Cambria"/>
          <w:sz w:val="24"/>
          <w:szCs w:val="24"/>
          <w:highlight w:val="white"/>
          <w:vertAlign w:val="superscript"/>
        </w:rPr>
        <w:footnoteReference w:id="5"/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„Nedoporučujeme dělení nebo reorganizaci současných vzdělávacích oblastí na další obory ani přidávání dalších, nových“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6"/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sz w:val="24"/>
          <w:szCs w:val="24"/>
          <w:highlight w:val="white"/>
        </w:rPr>
        <w:t>Tato tradice s kořeny v reformách ze 60. let 20. století je tradicí překonanou, v realitě umělecké tvorby ani aktuálních strateg</w:t>
      </w:r>
      <w:r>
        <w:rPr>
          <w:rFonts w:ascii="Cambria" w:eastAsia="Cambria" w:hAnsi="Cambria" w:cs="Cambria"/>
          <w:sz w:val="24"/>
          <w:szCs w:val="24"/>
          <w:highlight w:val="white"/>
        </w:rPr>
        <w:t>ických dokumentech nemá opodstatnění.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>Přes všechna ujišťování, že revize probíhá v zájmu žáků a jejich budoucnosti, se argumentace omezuje na hodinovou dotaci nebo obtížnost prosadit přípravu učitelů pro vzdělávací obory s malou časovou dotací. Tato argume</w:t>
      </w:r>
      <w:r>
        <w:rPr>
          <w:rFonts w:ascii="Cambria" w:eastAsia="Cambria" w:hAnsi="Cambria" w:cs="Cambria"/>
          <w:sz w:val="24"/>
          <w:szCs w:val="24"/>
          <w:highlight w:val="white"/>
        </w:rPr>
        <w:t>ntace však nemá v Hlavních směrech věcnou oporu.</w:t>
      </w:r>
    </w:p>
    <w:p w14:paraId="00000011" w14:textId="77777777" w:rsidR="001C20C2" w:rsidRDefault="001C2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12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Chceme-li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podpořit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- jak to Hlavní směry jasně deklarují -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rovné příležitosti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, musíme si uvědomit nezastupitelnost umění a kultury pro jejich vytváření a podporu. </w:t>
      </w:r>
      <w:r>
        <w:rPr>
          <w:rFonts w:ascii="Cambria" w:eastAsia="Cambria" w:hAnsi="Cambria" w:cs="Cambria"/>
          <w:sz w:val="24"/>
          <w:szCs w:val="24"/>
        </w:rPr>
        <w:t xml:space="preserve">Je zřejmé, že </w:t>
      </w:r>
      <w:r>
        <w:rPr>
          <w:rFonts w:ascii="Cambria" w:eastAsia="Cambria" w:hAnsi="Cambria" w:cs="Cambria"/>
          <w:b/>
          <w:sz w:val="24"/>
          <w:szCs w:val="24"/>
        </w:rPr>
        <w:t>umění přináší jiný způsob poznávání vedle způsobu vědeckého, poznávání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pomocí tvorby a její reflexe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Přináší tedy do škol zcela jiný přístup </w:t>
      </w:r>
      <w:r>
        <w:rPr>
          <w:rFonts w:ascii="Cambria" w:eastAsia="Cambria" w:hAnsi="Cambria" w:cs="Cambria"/>
          <w:sz w:val="24"/>
          <w:szCs w:val="24"/>
          <w:highlight w:val="white"/>
        </w:rPr>
        <w:t>a pro žáky jiný typ učebního zážitku a zkušenosti.</w:t>
      </w:r>
      <w:r>
        <w:rPr>
          <w:rFonts w:ascii="Cambria" w:eastAsia="Cambria" w:hAnsi="Cambria" w:cs="Cambria"/>
          <w:sz w:val="24"/>
          <w:szCs w:val="24"/>
        </w:rPr>
        <w:t xml:space="preserve"> Takový, ve kterém vedle možnosti poznávat mají žáci jedinečnou </w:t>
      </w:r>
      <w:r>
        <w:rPr>
          <w:rFonts w:ascii="Cambria" w:eastAsia="Cambria" w:hAnsi="Cambria" w:cs="Cambria"/>
          <w:sz w:val="24"/>
          <w:szCs w:val="24"/>
        </w:rPr>
        <w:lastRenderedPageBreak/>
        <w:t>možnost vypovídat – o sobě, o světě kolem nás, o svých názorech, postojích</w:t>
      </w:r>
      <w:r>
        <w:rPr>
          <w:rFonts w:ascii="Cambria" w:eastAsia="Cambria" w:hAnsi="Cambria" w:cs="Cambria"/>
          <w:sz w:val="24"/>
          <w:szCs w:val="24"/>
          <w:highlight w:val="white"/>
        </w:rPr>
        <w:t>, možnost podílet se na něčem, co je jako jednotlivce přesahuje (představení, koncert, výstava...), experimentovat, se</w:t>
      </w:r>
      <w:r>
        <w:rPr>
          <w:rFonts w:ascii="Cambria" w:eastAsia="Cambria" w:hAnsi="Cambria" w:cs="Cambria"/>
          <w:sz w:val="24"/>
          <w:szCs w:val="24"/>
          <w:highlight w:val="white"/>
        </w:rPr>
        <w:t>tkávat se s novými myšlenkami, materiály, rolemi.</w:t>
      </w:r>
    </w:p>
    <w:p w14:paraId="00000013" w14:textId="77777777" w:rsidR="001C20C2" w:rsidRDefault="00C853DA">
      <w:pPr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Vědní disciplíny nahlížejí na skutečnost svým úhlem pohledu. Získávají a předávají tak cenné poznatky, se kterými se žáci ve škole seznamují. </w:t>
      </w:r>
      <w:r>
        <w:rPr>
          <w:rFonts w:ascii="Cambria" w:eastAsia="Cambria" w:hAnsi="Cambria" w:cs="Cambria"/>
          <w:b/>
          <w:sz w:val="24"/>
          <w:szCs w:val="24"/>
        </w:rPr>
        <w:t>Umění jim ale nabízí jedinečnou příležitost své poznání, své náz</w:t>
      </w:r>
      <w:r>
        <w:rPr>
          <w:rFonts w:ascii="Cambria" w:eastAsia="Cambria" w:hAnsi="Cambria" w:cs="Cambria"/>
          <w:b/>
          <w:sz w:val="24"/>
          <w:szCs w:val="24"/>
        </w:rPr>
        <w:t>ory a postoje formulovat, vyjádřit, zobrazit tvůrčími a uměleckými prostředky.</w:t>
      </w:r>
      <w:r>
        <w:rPr>
          <w:rFonts w:ascii="Cambria" w:eastAsia="Cambria" w:hAnsi="Cambria" w:cs="Cambria"/>
          <w:sz w:val="24"/>
          <w:szCs w:val="24"/>
        </w:rPr>
        <w:t xml:space="preserve"> A stejně jako jednotlivé vědní obory používají své specifické nástroje poznávání, tak jednotlivá umění nabízejí své specifické prostředky k zobrazení skutečnosti a k výpovědi o </w:t>
      </w:r>
      <w:r>
        <w:rPr>
          <w:rFonts w:ascii="Cambria" w:eastAsia="Cambria" w:hAnsi="Cambria" w:cs="Cambria"/>
          <w:sz w:val="24"/>
          <w:szCs w:val="24"/>
        </w:rPr>
        <w:t xml:space="preserve">ní.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Pokud chceme respektovat rovné příležitosti a osobnostní předpoklady i přirozené schopnosti a zájmy žáků,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je nutné pojmout oblast Umění a kultura komplexně, se zastoupením všech oborů, které se na uměleckém vzdělávání v současné době podílejí.</w:t>
      </w:r>
    </w:p>
    <w:p w14:paraId="00000014" w14:textId="77777777" w:rsidR="001C20C2" w:rsidRDefault="00C853DA">
      <w:pPr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Přestože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těžiště uměleckých vzdělávacích oborů spočívá především v tvorbě, nelze opomenout ani základní znalost historie a teorie toho kterého umění. Jen tak lze vnímat a pochopit umělecké dílo, přijmout jeho výpověď. Obraz, hudební skladba, film, divadelní hra, d</w:t>
      </w:r>
      <w:r>
        <w:rPr>
          <w:rFonts w:ascii="Cambria" w:eastAsia="Cambria" w:hAnsi="Cambria" w:cs="Cambria"/>
          <w:sz w:val="24"/>
          <w:szCs w:val="24"/>
        </w:rPr>
        <w:t>ivadelní nebo taneční tvorba, to jsou dobové výpovědi o autorovi, době, společnosti, o světě.</w:t>
      </w:r>
    </w:p>
    <w:p w14:paraId="00000015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Každé z umění přináší do života dětí nezastupitelnou kvalitu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A ať už jde vlastní tvorbu, setkání s </w:t>
      </w:r>
      <w:r>
        <w:rPr>
          <w:rFonts w:ascii="Cambria" w:eastAsia="Cambria" w:hAnsi="Cambria" w:cs="Cambria"/>
          <w:sz w:val="24"/>
          <w:szCs w:val="24"/>
          <w:highlight w:val="white"/>
        </w:rPr>
        <w:t>uměleckými díly a kulturními statky</w:t>
      </w:r>
      <w:r>
        <w:rPr>
          <w:rFonts w:ascii="Cambria" w:eastAsia="Cambria" w:hAnsi="Cambria" w:cs="Cambria"/>
          <w:sz w:val="24"/>
          <w:szCs w:val="24"/>
        </w:rPr>
        <w:t xml:space="preserve"> nebo pohled do historie, j</w:t>
      </w:r>
      <w:r>
        <w:rPr>
          <w:rFonts w:ascii="Cambria" w:eastAsia="Cambria" w:hAnsi="Cambria" w:cs="Cambria"/>
          <w:sz w:val="24"/>
          <w:szCs w:val="24"/>
        </w:rPr>
        <w:t xml:space="preserve">e setkání s uměním vždy novou zkušeností doprovázenou emotivním zážitkem. </w:t>
      </w:r>
      <w:r>
        <w:rPr>
          <w:rFonts w:ascii="Cambria" w:eastAsia="Cambria" w:hAnsi="Cambria" w:cs="Cambria"/>
          <w:b/>
          <w:sz w:val="24"/>
          <w:szCs w:val="24"/>
        </w:rPr>
        <w:t xml:space="preserve">Podpora komplexního, víceoborového pojetí této oblasti, posílení jejího místa v rámci kurikula tak výrazně pomáhá i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enkulturaci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, budování kulturní identity dětí, jejich postojů ke ku</w:t>
      </w:r>
      <w:r>
        <w:rPr>
          <w:rFonts w:ascii="Cambria" w:eastAsia="Cambria" w:hAnsi="Cambria" w:cs="Cambria"/>
          <w:b/>
          <w:sz w:val="24"/>
          <w:szCs w:val="24"/>
        </w:rPr>
        <w:t>lturnímu dědictví, úctě k umělecké tvorbě, duchovním hodnotám.</w:t>
      </w:r>
    </w:p>
    <w:p w14:paraId="00000016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 požadavkům na </w:t>
      </w:r>
      <w:r>
        <w:rPr>
          <w:rFonts w:ascii="Cambria" w:eastAsia="Cambria" w:hAnsi="Cambria" w:cs="Cambria"/>
          <w:sz w:val="24"/>
          <w:szCs w:val="24"/>
          <w:highlight w:val="white"/>
        </w:rPr>
        <w:t>integraci a zrovnoprávnění oborů v oblasti Umění a kultura</w:t>
      </w:r>
      <w:r>
        <w:rPr>
          <w:rFonts w:ascii="Cambria" w:eastAsia="Cambria" w:hAnsi="Cambria" w:cs="Cambria"/>
          <w:sz w:val="24"/>
          <w:szCs w:val="24"/>
        </w:rPr>
        <w:t xml:space="preserve"> nás vede také přesvědčení, že </w:t>
      </w:r>
      <w:r>
        <w:rPr>
          <w:rFonts w:ascii="Cambria" w:eastAsia="Cambria" w:hAnsi="Cambria" w:cs="Cambria"/>
          <w:b/>
          <w:sz w:val="24"/>
          <w:szCs w:val="24"/>
        </w:rPr>
        <w:t>umělecky zaměřené vzdělávací obory se mohou kromě kulturních kompetencí významně a nezas</w:t>
      </w:r>
      <w:r>
        <w:rPr>
          <w:rFonts w:ascii="Cambria" w:eastAsia="Cambria" w:hAnsi="Cambria" w:cs="Cambria"/>
          <w:b/>
          <w:sz w:val="24"/>
          <w:szCs w:val="24"/>
        </w:rPr>
        <w:t xml:space="preserve">tupitelně podílet i na naplňování dalších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klíčových kompetencí.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Rozvíjejí kompetence k řešení problémů</w:t>
      </w:r>
      <w:r>
        <w:rPr>
          <w:rFonts w:ascii="Cambria" w:eastAsia="Cambria" w:hAnsi="Cambria" w:cs="Cambria"/>
          <w:sz w:val="24"/>
          <w:szCs w:val="24"/>
        </w:rPr>
        <w:t xml:space="preserve"> (čím jiným je tvorba uměleckého díla, než řešením problému), kompetencí komunikačních (každé umělecké dílo je od počátku zamýšleno jako prostředek komuni</w:t>
      </w:r>
      <w:r>
        <w:rPr>
          <w:rFonts w:ascii="Cambria" w:eastAsia="Cambria" w:hAnsi="Cambria" w:cs="Cambria"/>
          <w:sz w:val="24"/>
          <w:szCs w:val="24"/>
        </w:rPr>
        <w:t>kace, u týmové tvorby je pak komunikace i klíčovým předpokladem tvorby), kompetencí sociálních a personálních (tvorba, zejména pak týmová tvorba nepochybně jedinečným způsobem rozvíjí sociální kompetence) a kompetencí občanských (významná umělecká díla, se</w:t>
      </w:r>
      <w:r>
        <w:rPr>
          <w:rFonts w:ascii="Cambria" w:eastAsia="Cambria" w:hAnsi="Cambria" w:cs="Cambria"/>
          <w:sz w:val="24"/>
          <w:szCs w:val="24"/>
        </w:rPr>
        <w:t xml:space="preserve"> kterými se žáci seznámí, jsou také výrazem občanského postoje, k němu směřujeme i u tvorby žáků). </w:t>
      </w:r>
    </w:p>
    <w:p w14:paraId="00000017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 našem pojetí umělecky zaměřených vzdělávacích oborů a celé oblasti Umění a kultura uvažujeme o rozvoji osobnostních a společenských kompetencí žáků, o jej</w:t>
      </w:r>
      <w:r>
        <w:rPr>
          <w:rFonts w:ascii="Cambria" w:eastAsia="Cambria" w:hAnsi="Cambria" w:cs="Cambria"/>
          <w:sz w:val="24"/>
          <w:szCs w:val="24"/>
        </w:rPr>
        <w:t>ich současném i budoucím kulturním životě, kdy jen pro minimum z nich se stane umění profesí. Pro ostatní by ale mělo být aktivní součástí jejich osobního a společenského života. Přítomnost umění v základním vzdělávání vedle všech pozitivních dopadů na žák</w:t>
      </w:r>
      <w:r>
        <w:rPr>
          <w:rFonts w:ascii="Cambria" w:eastAsia="Cambria" w:hAnsi="Cambria" w:cs="Cambria"/>
          <w:sz w:val="24"/>
          <w:szCs w:val="24"/>
        </w:rPr>
        <w:t xml:space="preserve">y vyvažuje racionální poznávání světa kolem sebe a sebe sama. Umožňuje tak zcela nezastupitelně </w:t>
      </w:r>
      <w:r>
        <w:rPr>
          <w:rFonts w:ascii="Cambria" w:eastAsia="Cambria" w:hAnsi="Cambria" w:cs="Cambria"/>
          <w:i/>
          <w:sz w:val="24"/>
          <w:szCs w:val="24"/>
        </w:rPr>
        <w:t xml:space="preserve">„snížit nerovnost v přístupu ke kvalitnímu vzdělávání a umožnit maximální </w:t>
      </w:r>
      <w:r>
        <w:rPr>
          <w:rFonts w:ascii="Cambria" w:eastAsia="Cambria" w:hAnsi="Cambria" w:cs="Cambria"/>
          <w:i/>
          <w:sz w:val="24"/>
          <w:szCs w:val="24"/>
        </w:rPr>
        <w:lastRenderedPageBreak/>
        <w:t>rozvoj potenciálu dětí, žáků a studentů“,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7"/>
      </w:r>
      <w:r>
        <w:rPr>
          <w:rFonts w:ascii="Cambria" w:eastAsia="Cambria" w:hAnsi="Cambria" w:cs="Cambria"/>
          <w:sz w:val="24"/>
          <w:szCs w:val="24"/>
        </w:rPr>
        <w:t>tedy i těch, kterým je umělecký způsob pozná</w:t>
      </w:r>
      <w:r>
        <w:rPr>
          <w:rFonts w:ascii="Cambria" w:eastAsia="Cambria" w:hAnsi="Cambria" w:cs="Cambria"/>
          <w:sz w:val="24"/>
          <w:szCs w:val="24"/>
        </w:rPr>
        <w:t>vání a vyjadřování bližší než ten racionální.</w:t>
      </w:r>
    </w:p>
    <w:p w14:paraId="00000018" w14:textId="77777777" w:rsidR="001C20C2" w:rsidRDefault="00C853DA">
      <w:pPr>
        <w:jc w:val="both"/>
        <w:rPr>
          <w:rFonts w:ascii="Cambria" w:eastAsia="Cambria" w:hAnsi="Cambria" w:cs="Cambria"/>
          <w:strike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Argumentů pro potřebu zařadit do základního vzdělávání kompetenci v oblasti kulturního povědomí a vyjadřování je více a byly akceptovány na mnoha úrovních národních i mezinárodních. Stejně tak silné je volání z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a důstojnou diskusi a respekt k potřebě posílení oblasti Umění a kultura, neboť přináší žákům významné učební a rozvojové cesty, které jiné oblasti kurikula nabídnout nemohou. Je také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důležité pohlížet na oblast jako celek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, nikoli jako na dílčí předměty.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okud v RVP zůstane oblast Umění a kultura zastoupená jen dvěma vzdělávacími obory, nebude možné kompetenci v oblasti kulturního povědomí a vyjadřování naplňovat. Našim cílem není omezit tradičně zařazované předměty, ale posílit vzdělávací oblast Umění a ku</w:t>
      </w:r>
      <w:r>
        <w:rPr>
          <w:rFonts w:ascii="Cambria" w:eastAsia="Cambria" w:hAnsi="Cambria" w:cs="Cambria"/>
          <w:sz w:val="24"/>
          <w:szCs w:val="24"/>
        </w:rPr>
        <w:t>ltura tak, aby jí bylo zajištěno ve všeobecném vzdělávání plnohodnotné místo a aby mohla naplňovat cíle, které jí náležejí.</w:t>
      </w:r>
    </w:p>
    <w:p w14:paraId="00000019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V této chvíli je třeba od sebe oddělit záměr, ideu a její praktické provedení. To je ale také to, čemu nás učí umění: neslevovat, plánovat dílo bez ohledu na reálné možnosti, ubírat ze záměru, až když je to nevyhnutelně nutné. Ale v žádném případě si nedáv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at předem limity, sami sebe předem omezovat tím, co je nebo není možné. Často se totiž ukáže, že je možné dosáhnout mnohem víc, než bychom očekávali. Navrhujeme tedy v reakci na „Hlavní směry revize Rámcového vzdělávacího programu pro základní vzdělávání“ </w:t>
      </w:r>
      <w:r>
        <w:rPr>
          <w:rFonts w:ascii="Cambria" w:eastAsia="Cambria" w:hAnsi="Cambria" w:cs="Cambria"/>
          <w:sz w:val="24"/>
          <w:szCs w:val="24"/>
          <w:highlight w:val="white"/>
        </w:rPr>
        <w:t>a celkové posílení umění a kultury ve vzdělávání následující:</w:t>
      </w:r>
    </w:p>
    <w:p w14:paraId="0000001A" w14:textId="77777777" w:rsidR="001C20C2" w:rsidRDefault="00C853DA">
      <w:pPr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Vycházet primárně z potřeb žáka, nikoliv školy a kurikula.</w:t>
      </w:r>
    </w:p>
    <w:p w14:paraId="0000001B" w14:textId="77777777" w:rsidR="001C20C2" w:rsidRDefault="00C853DA">
      <w:pPr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Doplnit do soustavy kompetencí kompetenci kulturního povědomí a vyjadřování (případně kompetenci k tvořivosti).</w:t>
      </w:r>
    </w:p>
    <w:p w14:paraId="0000001C" w14:textId="77777777" w:rsidR="001C20C2" w:rsidRDefault="00C853DA">
      <w:pPr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Zrovnoprávnit jednotliv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é obory vzdělávací oblasti Umění a kultura.</w:t>
      </w:r>
    </w:p>
    <w:p w14:paraId="0000001D" w14:textId="77777777" w:rsidR="001C20C2" w:rsidRDefault="00C85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Jasně pojmenovat specifika jednotlivých druhů umění a přínos, který to které umění pro rozvoj žáků a jejich přípravu na budoucí život má.</w:t>
      </w:r>
    </w:p>
    <w:p w14:paraId="0000001E" w14:textId="77777777" w:rsidR="001C20C2" w:rsidRDefault="00C85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Teprve </w:t>
      </w:r>
      <w:r>
        <w:rPr>
          <w:rFonts w:ascii="Cambria" w:eastAsia="Cambria" w:hAnsi="Cambria" w:cs="Cambria"/>
          <w:b/>
          <w:sz w:val="24"/>
          <w:szCs w:val="24"/>
        </w:rPr>
        <w:t>následně</w:t>
      </w:r>
      <w:r>
        <w:rPr>
          <w:rFonts w:ascii="Cambria" w:eastAsia="Cambria" w:hAnsi="Cambria" w:cs="Cambria"/>
          <w:b/>
          <w:sz w:val="24"/>
          <w:szCs w:val="24"/>
        </w:rPr>
        <w:t xml:space="preserve"> se zabývat otázkami jako je hodinová dotace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a návrhy způso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bů realizace cílů oblasti v učebních plánech na úrovni RVP a jejich konkretizacemi na úrovních ŠVP.</w:t>
      </w:r>
    </w:p>
    <w:p w14:paraId="0000001F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Věříme, že absence kompetence kulturního povědomí a vyjadřování v klíčových kompetencích Hlavních směrů revize je jen opomenutím, které by ale mohlo mít na </w:t>
      </w:r>
      <w:r>
        <w:rPr>
          <w:rFonts w:ascii="Cambria" w:eastAsia="Cambria" w:hAnsi="Cambria" w:cs="Cambria"/>
          <w:sz w:val="24"/>
          <w:szCs w:val="24"/>
        </w:rPr>
        <w:t>vzdělávání našich dětí a jejich budoucnost zásadní dopad. Přehlížení této oblasti, rigidní konzervování stávajícího stavu, který má kořeny v hluboké minulosti, neochota revidovat ji v souladu se současnými trendy v pojetí uměleckého vzdělávání může výrazně</w:t>
      </w:r>
      <w:r>
        <w:rPr>
          <w:rFonts w:ascii="Cambria" w:eastAsia="Cambria" w:hAnsi="Cambria" w:cs="Cambria"/>
          <w:sz w:val="24"/>
          <w:szCs w:val="24"/>
        </w:rPr>
        <w:t xml:space="preserve"> ovlivnit samotné naplňování základních cílů “Strategie 2030+”.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8"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20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Našim společným cílem je vzdělávat a vychovávat děti pro budoucí život. Chceme aby byly samostatné, tvořivé, schopné přizpůsobit se měnícím se podmínkám. Umění může sehrát </w:t>
      </w:r>
      <w:r>
        <w:rPr>
          <w:rFonts w:ascii="Cambria" w:eastAsia="Cambria" w:hAnsi="Cambria" w:cs="Cambria"/>
          <w:sz w:val="24"/>
          <w:szCs w:val="24"/>
        </w:rPr>
        <w:lastRenderedPageBreak/>
        <w:t>v tomto procesu vý</w:t>
      </w:r>
      <w:r>
        <w:rPr>
          <w:rFonts w:ascii="Cambria" w:eastAsia="Cambria" w:hAnsi="Cambria" w:cs="Cambria"/>
          <w:sz w:val="24"/>
          <w:szCs w:val="24"/>
        </w:rPr>
        <w:t xml:space="preserve">znamnou roli. Uznání uměleckého poznávání vedle poznávání vědeckého, uznání rovnoprávnosti uměleckého sdělování, uznání výzkumu uměním jako rovnoprávného způsobu poznávání světa vedle výzkumu vědeckého je v zájmu nás všech. </w:t>
      </w:r>
    </w:p>
    <w:p w14:paraId="00000021" w14:textId="77777777" w:rsidR="001C20C2" w:rsidRDefault="00C853DA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Vyzýváme v tento okamžik všechny, kterým není osud umění a kultury v budoucím RVP ZV lhostejný, aby věnovali v těchto týdnech velkou pozornost právě publikovaným Hlavním směrům a připomínkovali je za sebe a své instituce, organizace či pracoviště. Znění do</w:t>
      </w:r>
      <w:r>
        <w:rPr>
          <w:rFonts w:ascii="Cambria" w:eastAsia="Cambria" w:hAnsi="Cambria" w:cs="Cambria"/>
          <w:b/>
          <w:sz w:val="24"/>
          <w:szCs w:val="24"/>
        </w:rPr>
        <w:t xml:space="preserve">kumentu i připomínkový formulář jsou právě nyní (do 21. 4. 2022) k dispozici na </w:t>
      </w:r>
      <w:hyperlink r:id="rId8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 xml:space="preserve"> https://velke-revize-zv.rvp.cz/zapojte-se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. Je to důležitá příležitost, jak ovlivnit budoucí podobu vzdělávání dětí (minimálně) pro další desetiletí.</w:t>
      </w:r>
    </w:p>
    <w:p w14:paraId="00000022" w14:textId="77777777" w:rsidR="001C20C2" w:rsidRDefault="001C20C2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23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prof. PhDr. Silva Macková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JAMU</w:t>
      </w:r>
      <w:r>
        <w:rPr>
          <w:rFonts w:ascii="Cambria" w:eastAsia="Cambria" w:hAnsi="Cambria" w:cs="Cambria"/>
          <w:sz w:val="24"/>
          <w:szCs w:val="24"/>
        </w:rPr>
        <w:t xml:space="preserve"> - prorektorka pro studium, vedoucí ateliéru Divadlo a výchova DF JAMU</w:t>
      </w:r>
    </w:p>
    <w:p w14:paraId="00000024" w14:textId="18C8A22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doc. Radek Marušák, DAMU</w:t>
      </w:r>
      <w:r>
        <w:rPr>
          <w:rFonts w:ascii="Cambria" w:eastAsia="Cambria" w:hAnsi="Cambria" w:cs="Cambria"/>
          <w:sz w:val="24"/>
          <w:szCs w:val="24"/>
        </w:rPr>
        <w:t xml:space="preserve"> -</w:t>
      </w:r>
      <w:r>
        <w:rPr>
          <w:rFonts w:ascii="Cambria" w:eastAsia="Cambria" w:hAnsi="Cambria" w:cs="Cambria"/>
          <w:sz w:val="24"/>
          <w:szCs w:val="24"/>
        </w:rPr>
        <w:t xml:space="preserve"> vedoucí katedry vý</w:t>
      </w:r>
      <w:r>
        <w:rPr>
          <w:rFonts w:ascii="Cambria" w:eastAsia="Cambria" w:hAnsi="Cambria" w:cs="Cambria"/>
          <w:sz w:val="24"/>
          <w:szCs w:val="24"/>
        </w:rPr>
        <w:t>chovné dramatiky</w:t>
      </w:r>
    </w:p>
    <w:p w14:paraId="00000025" w14:textId="77777777" w:rsidR="001C20C2" w:rsidRDefault="00C853DA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Eva Blažíčková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Duncan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institut</w:t>
      </w:r>
    </w:p>
    <w:p w14:paraId="00000026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MgA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. Lucie Hlavicová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Asociace pro filmovou a audiovizuální výchovu</w:t>
      </w:r>
      <w:r>
        <w:rPr>
          <w:rFonts w:ascii="Cambria" w:eastAsia="Cambria" w:hAnsi="Cambria" w:cs="Cambria"/>
          <w:sz w:val="24"/>
          <w:szCs w:val="24"/>
        </w:rPr>
        <w:t xml:space="preserve"> - členka výboru</w:t>
      </w:r>
    </w:p>
    <w:p w14:paraId="00000027" w14:textId="77777777" w:rsidR="001C20C2" w:rsidRDefault="001C20C2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28" w14:textId="77777777" w:rsidR="001C20C2" w:rsidRDefault="00C853DA">
      <w:pPr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Podporu tomuto stanovisku můžete vyjádřit svým podpisem na:</w:t>
      </w:r>
    </w:p>
    <w:p w14:paraId="00000029" w14:textId="77777777" w:rsidR="001C20C2" w:rsidRDefault="00C853DA">
      <w:pPr>
        <w:jc w:val="both"/>
        <w:rPr>
          <w:rFonts w:ascii="Cambria" w:eastAsia="Cambria" w:hAnsi="Cambria" w:cs="Cambria"/>
          <w:sz w:val="24"/>
          <w:szCs w:val="24"/>
        </w:rPr>
      </w:pP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/forms.gle/99QWZd1D1i7wEmtDA</w:t>
        </w:r>
      </w:hyperlink>
    </w:p>
    <w:p w14:paraId="0000002A" w14:textId="77777777" w:rsidR="001C20C2" w:rsidRDefault="001C20C2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2B" w14:textId="77777777" w:rsidR="001C20C2" w:rsidRDefault="001C20C2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2C" w14:textId="77777777" w:rsidR="001C20C2" w:rsidRDefault="001C20C2">
      <w:pPr>
        <w:jc w:val="both"/>
        <w:rPr>
          <w:rFonts w:ascii="Cambria" w:eastAsia="Cambria" w:hAnsi="Cambria" w:cs="Cambria"/>
        </w:rPr>
      </w:pPr>
    </w:p>
    <w:p w14:paraId="0000002D" w14:textId="77777777" w:rsidR="001C20C2" w:rsidRDefault="001C20C2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2E" w14:textId="77777777" w:rsidR="001C20C2" w:rsidRDefault="001C20C2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2F" w14:textId="77777777" w:rsidR="001C20C2" w:rsidRDefault="001C20C2">
      <w:pPr>
        <w:jc w:val="both"/>
        <w:rPr>
          <w:rFonts w:ascii="Cambria" w:eastAsia="Cambria" w:hAnsi="Cambria" w:cs="Cambria"/>
        </w:rPr>
      </w:pPr>
    </w:p>
    <w:sectPr w:rsidR="001C20C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AC737" w14:textId="77777777" w:rsidR="00C853DA" w:rsidRDefault="00C853DA">
      <w:pPr>
        <w:spacing w:after="0" w:line="240" w:lineRule="auto"/>
      </w:pPr>
      <w:r>
        <w:separator/>
      </w:r>
    </w:p>
  </w:endnote>
  <w:endnote w:type="continuationSeparator" w:id="0">
    <w:p w14:paraId="057FEB35" w14:textId="77777777" w:rsidR="00C853DA" w:rsidRDefault="00C8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2B39" w14:textId="77777777" w:rsidR="00C853DA" w:rsidRDefault="00C853DA">
      <w:pPr>
        <w:spacing w:after="0" w:line="240" w:lineRule="auto"/>
      </w:pPr>
      <w:r>
        <w:separator/>
      </w:r>
    </w:p>
  </w:footnote>
  <w:footnote w:type="continuationSeparator" w:id="0">
    <w:p w14:paraId="423F7BD8" w14:textId="77777777" w:rsidR="00C853DA" w:rsidRDefault="00C853DA">
      <w:pPr>
        <w:spacing w:after="0" w:line="240" w:lineRule="auto"/>
      </w:pPr>
      <w:r>
        <w:continuationSeparator/>
      </w:r>
    </w:p>
  </w:footnote>
  <w:footnote w:id="1">
    <w:p w14:paraId="00000036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Hlavní směry revize rámcového vzdělávacího programu pro základní vzdělávání. Verze pro připomínkování. Dostupné na </w:t>
      </w:r>
      <w:hyperlink r:id="rId1">
        <w:r>
          <w:rPr>
            <w:color w:val="1155CC"/>
            <w:sz w:val="20"/>
            <w:szCs w:val="20"/>
            <w:u w:val="single"/>
          </w:rPr>
          <w:t>https://velke-revize-zv.rvp.cz/files/hlavni</w:t>
        </w:r>
        <w:r>
          <w:rPr>
            <w:color w:val="1155CC"/>
            <w:sz w:val="20"/>
            <w:szCs w:val="20"/>
            <w:u w:val="single"/>
          </w:rPr>
          <w:t>-smery-revize-rvp-zv.pdf</w:t>
        </w:r>
      </w:hyperlink>
      <w:r>
        <w:rPr>
          <w:sz w:val="20"/>
          <w:szCs w:val="20"/>
        </w:rPr>
        <w:t xml:space="preserve"> </w:t>
      </w:r>
    </w:p>
  </w:footnote>
  <w:footnote w:id="2">
    <w:p w14:paraId="00000037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Připomínky je možno vkládat na </w:t>
      </w:r>
      <w:hyperlink r:id="rId2">
        <w:r>
          <w:rPr>
            <w:color w:val="1155CC"/>
            <w:sz w:val="20"/>
            <w:szCs w:val="20"/>
            <w:u w:val="single"/>
          </w:rPr>
          <w:t>Zapojte se | velké revize RVP v ZV</w:t>
        </w:r>
      </w:hyperlink>
    </w:p>
  </w:footnote>
  <w:footnote w:id="3">
    <w:p w14:paraId="00000032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DOPORUČENÍ RADY ze dne 22. května 2018 o klíčových kompetencích pro celoživotní učení(Text s významem pro EHP), s. 11. dostupné na </w:t>
      </w:r>
      <w:hyperlink r:id="rId3">
        <w:r>
          <w:rPr>
            <w:color w:val="1155CC"/>
            <w:u w:val="single"/>
          </w:rPr>
          <w:t>https://eur-lex.europa.eu/le</w:t>
        </w:r>
        <w:r>
          <w:rPr>
            <w:color w:val="1155CC"/>
            <w:u w:val="single"/>
          </w:rPr>
          <w:t>gal-content/CS/TXT/PDF/?uri=CELEX:32018H0604(01)</w:t>
        </w:r>
      </w:hyperlink>
    </w:p>
    <w:p w14:paraId="00000033" w14:textId="77777777" w:rsidR="001C20C2" w:rsidRDefault="001C20C2">
      <w:pPr>
        <w:spacing w:after="0" w:line="240" w:lineRule="auto"/>
        <w:rPr>
          <w:sz w:val="20"/>
          <w:szCs w:val="20"/>
        </w:rPr>
      </w:pPr>
    </w:p>
  </w:footnote>
  <w:footnote w:id="4">
    <w:p w14:paraId="00000038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C4043"/>
          <w:sz w:val="20"/>
          <w:szCs w:val="20"/>
        </w:rPr>
        <w:t xml:space="preserve">Soulský program: Cíle pro rozvoj umělecké výchovy. Dostupné na: </w:t>
      </w:r>
      <w:hyperlink r:id="rId4">
        <w:r>
          <w:rPr>
            <w:color w:val="1155CC"/>
            <w:sz w:val="20"/>
            <w:szCs w:val="20"/>
            <w:u w:val="single"/>
          </w:rPr>
          <w:t>https://unesdoc.unesco.org/ark:/48223/pf0000190692</w:t>
        </w:r>
      </w:hyperlink>
    </w:p>
  </w:footnote>
  <w:footnote w:id="5">
    <w:p w14:paraId="00000031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Hlavní směry revize Rámcového vzdělávacího programu, s. 14-15</w:t>
      </w:r>
    </w:p>
  </w:footnote>
  <w:footnote w:id="6">
    <w:p w14:paraId="00000030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Hlavní směry revize Rámcového vzdělávacího programu, s. 18</w:t>
      </w:r>
    </w:p>
  </w:footnote>
  <w:footnote w:id="7">
    <w:p w14:paraId="00000034" w14:textId="77777777" w:rsidR="001C20C2" w:rsidRDefault="00C853D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Hlavní směry, s. 6</w:t>
      </w:r>
    </w:p>
  </w:footnote>
  <w:footnote w:id="8">
    <w:p w14:paraId="00000035" w14:textId="77777777" w:rsidR="001C20C2" w:rsidRDefault="00C853DA">
      <w:pPr>
        <w:spacing w:after="0" w:line="240" w:lineRule="auto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kapitole Zdůvodnění a cíle revize RVP ZV (Hlavní směry, s.6) je uvedeno: </w:t>
      </w:r>
      <w:r>
        <w:rPr>
          <w:i/>
          <w:sz w:val="20"/>
          <w:szCs w:val="20"/>
        </w:rPr>
        <w:t>„Směřování do budoucna Na základě změn, ke kterým ve společnosti došlo, i vzhledem k potřebám žáků uvádí Str</w:t>
      </w:r>
      <w:r>
        <w:rPr>
          <w:i/>
          <w:sz w:val="20"/>
          <w:szCs w:val="20"/>
        </w:rPr>
        <w:t>ategie 2030+ (MŠMT, 2020) tyto cíle: „1. Zaměřit vzdělávání více na získávání kompetencí potřebných pro aktivní občanský, profesní a osobní život. 2. Snížit nerovnosti v přístupu ke kvalitnímu vzdělávání a umožnit maximální rozvoj potenciálu dětí, žáků a s</w:t>
      </w:r>
      <w:r>
        <w:rPr>
          <w:i/>
          <w:sz w:val="20"/>
          <w:szCs w:val="20"/>
        </w:rPr>
        <w:t>tudentů“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37B74"/>
    <w:multiLevelType w:val="multilevel"/>
    <w:tmpl w:val="C18E0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2"/>
    <w:rsid w:val="001C20C2"/>
    <w:rsid w:val="006F5098"/>
    <w:rsid w:val="009C230E"/>
    <w:rsid w:val="00C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044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4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7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D33"/>
    <w:rPr>
      <w:vertAlign w:val="superscript"/>
    </w:rPr>
  </w:style>
  <w:style w:type="paragraph" w:customStyle="1" w:styleId="Normln1">
    <w:name w:val="Normální1"/>
    <w:basedOn w:val="Normal"/>
    <w:rsid w:val="003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DA7DC6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elke-revize-zv.rvp.cz/zapojte-se" TargetMode="External"/><Relationship Id="rId9" Type="http://schemas.openxmlformats.org/officeDocument/2006/relationships/hyperlink" Target="https://forms.gle/99QWZd1D1i7wEmtD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PDF/?uri=CELEX:32018H0604(01)" TargetMode="External"/><Relationship Id="rId4" Type="http://schemas.openxmlformats.org/officeDocument/2006/relationships/hyperlink" Target="https://unesdoc.unesco.org/ark:/48223/pf0000190692" TargetMode="External"/><Relationship Id="rId1" Type="http://schemas.openxmlformats.org/officeDocument/2006/relationships/hyperlink" Target="https://velke-revize-zv.rvp.cz/files/hlavni-smery-revize-rvp-zv.pdf" TargetMode="External"/><Relationship Id="rId2" Type="http://schemas.openxmlformats.org/officeDocument/2006/relationships/hyperlink" Target="https://velke-revize-zv.rvp.cz/zapojte-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bo7PYjRXttLpCiqWBjH7Bs/cA==">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1822</Words>
  <Characters>10390</Characters>
  <Application>Microsoft Macintosh Word</Application>
  <DocSecurity>0</DocSecurity>
  <Lines>86</Lines>
  <Paragraphs>24</Paragraphs>
  <ScaleCrop>false</ScaleCrop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Macková</dc:creator>
  <cp:lastModifiedBy>Microsoft Office User</cp:lastModifiedBy>
  <cp:revision>2</cp:revision>
  <dcterms:created xsi:type="dcterms:W3CDTF">2022-04-04T11:03:00Z</dcterms:created>
  <dcterms:modified xsi:type="dcterms:W3CDTF">2022-04-04T11:03:00Z</dcterms:modified>
</cp:coreProperties>
</file>